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bdr w:val="none" w:color="auto" w:sz="0" w:space="0"/>
          <w:shd w:val="clear" w:fill="FFFFFF"/>
        </w:rPr>
        <w:t>诉讼服务中心人员职责信息公示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立案庭负责人 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立案庭文员          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立案庭文员          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2021-10-28T01:40:08Z</dcterms:created>
  <dc:creator>Administrator</dc:creator>
  <cp:lastModifiedBy>Administrator</cp:lastModifiedBy>
  <dcterms:modified xsi:type="dcterms:W3CDTF">2021-10-28T01:42:26Z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96B0D76422884E708C9A726B63FE5E53</vt:lpwstr>
  </property>
</Properties>
</file>