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C5" w:rsidRDefault="004D736E">
      <w:pPr>
        <w:jc w:val="center"/>
        <w:rPr>
          <w:b/>
          <w:sz w:val="44"/>
          <w:szCs w:val="44"/>
        </w:rPr>
      </w:pPr>
      <w:r>
        <w:rPr>
          <w:rFonts w:hint="eastAsia"/>
          <w:b/>
          <w:sz w:val="44"/>
          <w:szCs w:val="44"/>
        </w:rPr>
        <w:t>人民法院刑事简易程序</w:t>
      </w:r>
      <w:r w:rsidR="00DF55DB">
        <w:rPr>
          <w:rFonts w:hint="eastAsia"/>
          <w:b/>
          <w:sz w:val="44"/>
          <w:szCs w:val="44"/>
        </w:rPr>
        <w:t>司法统计调研报告</w:t>
      </w:r>
    </w:p>
    <w:p w:rsidR="00691EC5" w:rsidRDefault="004D736E">
      <w:pPr>
        <w:jc w:val="center"/>
        <w:rPr>
          <w:rFonts w:ascii="仿宋" w:eastAsia="仿宋" w:hAnsi="仿宋"/>
          <w:sz w:val="32"/>
          <w:szCs w:val="32"/>
        </w:rPr>
      </w:pPr>
      <w:r>
        <w:rPr>
          <w:rFonts w:ascii="仿宋" w:eastAsia="仿宋" w:hAnsi="仿宋" w:hint="eastAsia"/>
          <w:sz w:val="32"/>
          <w:szCs w:val="32"/>
        </w:rPr>
        <w:t>——以吉林省</w:t>
      </w:r>
      <w:r w:rsidR="00537571">
        <w:rPr>
          <w:rFonts w:ascii="仿宋" w:eastAsia="仿宋" w:hAnsi="仿宋" w:hint="eastAsia"/>
          <w:sz w:val="32"/>
          <w:szCs w:val="32"/>
        </w:rPr>
        <w:t>五</w:t>
      </w:r>
      <w:r>
        <w:rPr>
          <w:rFonts w:ascii="仿宋" w:eastAsia="仿宋" w:hAnsi="仿宋" w:hint="eastAsia"/>
          <w:sz w:val="32"/>
          <w:szCs w:val="32"/>
        </w:rPr>
        <w:t>家铁路运输法院刑事简易程序</w:t>
      </w:r>
      <w:r w:rsidR="00537571">
        <w:rPr>
          <w:rFonts w:ascii="仿宋" w:eastAsia="仿宋" w:hAnsi="仿宋" w:hint="eastAsia"/>
          <w:sz w:val="32"/>
          <w:szCs w:val="32"/>
        </w:rPr>
        <w:t>实</w:t>
      </w:r>
      <w:r>
        <w:rPr>
          <w:rFonts w:ascii="仿宋" w:eastAsia="仿宋" w:hAnsi="仿宋" w:hint="eastAsia"/>
          <w:sz w:val="32"/>
          <w:szCs w:val="32"/>
        </w:rPr>
        <w:t>况为样本</w:t>
      </w:r>
    </w:p>
    <w:p w:rsidR="00E93BA3" w:rsidRDefault="00E93BA3">
      <w:pPr>
        <w:ind w:firstLineChars="200" w:firstLine="640"/>
        <w:rPr>
          <w:rFonts w:ascii="仿宋" w:eastAsia="仿宋" w:hAnsi="仿宋" w:hint="eastAsia"/>
          <w:sz w:val="32"/>
          <w:szCs w:val="32"/>
        </w:rPr>
      </w:pPr>
    </w:p>
    <w:p w:rsidR="00691EC5" w:rsidRDefault="004D736E">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一、研究目的</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2012年，全国人民代表大会通过了对《刑事诉讼法》的第二次大修，这次修改涉及到刑事简易程序的适用问题，是重要的一次改革。</w:t>
      </w:r>
      <w:r w:rsidR="00DE558C">
        <w:rPr>
          <w:rFonts w:ascii="仿宋" w:eastAsia="仿宋" w:hAnsi="仿宋" w:hint="eastAsia"/>
          <w:sz w:val="32"/>
          <w:szCs w:val="32"/>
        </w:rPr>
        <w:t>最高</w:t>
      </w:r>
      <w:proofErr w:type="gramStart"/>
      <w:r w:rsidR="00DE558C">
        <w:rPr>
          <w:rFonts w:ascii="仿宋" w:eastAsia="仿宋" w:hAnsi="仿宋" w:hint="eastAsia"/>
          <w:sz w:val="32"/>
          <w:szCs w:val="32"/>
        </w:rPr>
        <w:t>法发布</w:t>
      </w:r>
      <w:proofErr w:type="gramEnd"/>
      <w:r w:rsidR="00DE558C">
        <w:rPr>
          <w:rFonts w:ascii="仿宋" w:eastAsia="仿宋" w:hAnsi="仿宋" w:hint="eastAsia"/>
          <w:sz w:val="32"/>
          <w:szCs w:val="32"/>
        </w:rPr>
        <w:t>的《关于全面推进以审判为中心的刑事诉讼制度改革的实施意见》中明确审判在刑事诉讼中的中心地位和决定性作用，然而</w:t>
      </w:r>
      <w:r>
        <w:rPr>
          <w:rFonts w:ascii="仿宋" w:eastAsia="仿宋" w:hAnsi="仿宋" w:hint="eastAsia"/>
          <w:sz w:val="32"/>
          <w:szCs w:val="32"/>
        </w:rPr>
        <w:t>目前大多数学者对刑事简易程序的研究都倾向于对理论</w:t>
      </w:r>
      <w:r w:rsidR="00537571">
        <w:rPr>
          <w:rFonts w:ascii="仿宋" w:eastAsia="仿宋" w:hAnsi="仿宋" w:hint="eastAsia"/>
          <w:sz w:val="32"/>
          <w:szCs w:val="32"/>
        </w:rPr>
        <w:t>层</w:t>
      </w:r>
      <w:r>
        <w:rPr>
          <w:rFonts w:ascii="仿宋" w:eastAsia="仿宋" w:hAnsi="仿宋" w:hint="eastAsia"/>
          <w:sz w:val="32"/>
          <w:szCs w:val="32"/>
        </w:rPr>
        <w:t>面的分析讨论，对司法实践中的实际运用涉及较少。201</w:t>
      </w:r>
      <w:r w:rsidR="00537571">
        <w:rPr>
          <w:rFonts w:ascii="仿宋" w:eastAsia="仿宋" w:hAnsi="仿宋" w:hint="eastAsia"/>
          <w:sz w:val="32"/>
          <w:szCs w:val="32"/>
        </w:rPr>
        <w:t>2</w:t>
      </w:r>
      <w:r>
        <w:rPr>
          <w:rFonts w:ascii="仿宋" w:eastAsia="仿宋" w:hAnsi="仿宋" w:hint="eastAsia"/>
          <w:sz w:val="32"/>
          <w:szCs w:val="32"/>
        </w:rPr>
        <w:t>年铁路法院</w:t>
      </w:r>
      <w:r w:rsidR="00537571">
        <w:rPr>
          <w:rFonts w:ascii="仿宋" w:eastAsia="仿宋" w:hAnsi="仿宋" w:hint="eastAsia"/>
          <w:sz w:val="32"/>
          <w:szCs w:val="32"/>
        </w:rPr>
        <w:t>纳入全国</w:t>
      </w:r>
      <w:r>
        <w:rPr>
          <w:rFonts w:ascii="仿宋" w:eastAsia="仿宋" w:hAnsi="仿宋" w:hint="eastAsia"/>
          <w:sz w:val="32"/>
          <w:szCs w:val="32"/>
        </w:rPr>
        <w:t>法院系统，由上级法院进行监督</w:t>
      </w:r>
      <w:r w:rsidR="00537571">
        <w:rPr>
          <w:rFonts w:ascii="仿宋" w:eastAsia="仿宋" w:hAnsi="仿宋" w:hint="eastAsia"/>
          <w:sz w:val="32"/>
          <w:szCs w:val="32"/>
        </w:rPr>
        <w:t>指导</w:t>
      </w:r>
      <w:r>
        <w:rPr>
          <w:rFonts w:ascii="仿宋" w:eastAsia="仿宋" w:hAnsi="仿宋" w:hint="eastAsia"/>
          <w:sz w:val="32"/>
          <w:szCs w:val="32"/>
        </w:rPr>
        <w:t>，目前铁路法院所涉及的刑事案件普遍选择适用简易程序来进行审理，因此我院本次调研的研究方向是刑事简易程序的适用研究，通过调取吉林省</w:t>
      </w:r>
      <w:r w:rsidR="00537571">
        <w:rPr>
          <w:rFonts w:ascii="仿宋" w:eastAsia="仿宋" w:hAnsi="仿宋" w:hint="eastAsia"/>
          <w:sz w:val="32"/>
          <w:szCs w:val="32"/>
        </w:rPr>
        <w:t>五</w:t>
      </w:r>
      <w:r>
        <w:rPr>
          <w:rFonts w:ascii="仿宋" w:eastAsia="仿宋" w:hAnsi="仿宋" w:hint="eastAsia"/>
          <w:sz w:val="32"/>
          <w:szCs w:val="32"/>
        </w:rPr>
        <w:t>家铁路运输法院2014</w:t>
      </w:r>
      <w:r w:rsidR="00537571">
        <w:rPr>
          <w:rFonts w:ascii="仿宋" w:eastAsia="仿宋" w:hAnsi="仿宋" w:hint="eastAsia"/>
          <w:sz w:val="32"/>
          <w:szCs w:val="32"/>
        </w:rPr>
        <w:t>年至</w:t>
      </w:r>
      <w:r>
        <w:rPr>
          <w:rFonts w:ascii="仿宋" w:eastAsia="仿宋" w:hAnsi="仿宋" w:hint="eastAsia"/>
          <w:sz w:val="32"/>
          <w:szCs w:val="32"/>
        </w:rPr>
        <w:t>2016年的数据，来分析了解刑事简易程序在司法实践中的实际适用情况，了解简易程序在适用整体上所起到的积极效果，同时也对其在适用的过程中存在的问题进行分析，</w:t>
      </w:r>
      <w:r w:rsidR="00DE558C">
        <w:rPr>
          <w:rFonts w:ascii="仿宋" w:eastAsia="仿宋" w:hAnsi="仿宋" w:hint="eastAsia"/>
          <w:sz w:val="32"/>
          <w:szCs w:val="32"/>
        </w:rPr>
        <w:t>全面贯彻落实中央司法体制改革的精神和要求，深入推进刑事司法理念和制度创新，</w:t>
      </w:r>
      <w:r>
        <w:rPr>
          <w:rFonts w:ascii="仿宋" w:eastAsia="仿宋" w:hAnsi="仿宋" w:hint="eastAsia"/>
          <w:sz w:val="32"/>
          <w:szCs w:val="32"/>
        </w:rPr>
        <w:t>从而可以更好的为刑事审判</w:t>
      </w:r>
      <w:r w:rsidR="00537571">
        <w:rPr>
          <w:rFonts w:ascii="仿宋" w:eastAsia="仿宋" w:hAnsi="仿宋" w:hint="eastAsia"/>
          <w:sz w:val="32"/>
          <w:szCs w:val="32"/>
        </w:rPr>
        <w:t>实践</w:t>
      </w:r>
      <w:r>
        <w:rPr>
          <w:rFonts w:ascii="仿宋" w:eastAsia="仿宋" w:hAnsi="仿宋" w:hint="eastAsia"/>
          <w:sz w:val="32"/>
          <w:szCs w:val="32"/>
        </w:rPr>
        <w:t>服务。</w:t>
      </w:r>
    </w:p>
    <w:p w:rsidR="00036FC7" w:rsidRDefault="00036FC7">
      <w:pPr>
        <w:ind w:firstLineChars="200" w:firstLine="640"/>
        <w:rPr>
          <w:rFonts w:ascii="仿宋" w:eastAsia="仿宋" w:hAnsi="仿宋"/>
          <w:sz w:val="32"/>
          <w:szCs w:val="32"/>
        </w:rPr>
      </w:pPr>
    </w:p>
    <w:p w:rsidR="00691EC5" w:rsidRDefault="004D736E">
      <w:pPr>
        <w:ind w:firstLineChars="200" w:firstLine="640"/>
        <w:rPr>
          <w:rFonts w:ascii="黑体" w:eastAsia="黑体" w:hAnsi="黑体"/>
          <w:sz w:val="32"/>
          <w:szCs w:val="32"/>
        </w:rPr>
      </w:pPr>
      <w:r>
        <w:rPr>
          <w:rFonts w:ascii="黑体" w:eastAsia="黑体" w:hAnsi="黑体" w:hint="eastAsia"/>
          <w:sz w:val="32"/>
          <w:szCs w:val="32"/>
        </w:rPr>
        <w:t>二、研究意义</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我国刑事诉讼简易程序发展从1996年确立到2012年3月</w:t>
      </w:r>
      <w:r>
        <w:rPr>
          <w:rFonts w:ascii="仿宋" w:eastAsia="仿宋" w:hAnsi="仿宋" w:hint="eastAsia"/>
          <w:sz w:val="32"/>
          <w:szCs w:val="32"/>
        </w:rPr>
        <w:lastRenderedPageBreak/>
        <w:t>第十一届全国人大五次会议审议表决通过，历经</w:t>
      </w:r>
      <w:r w:rsidR="00537571">
        <w:rPr>
          <w:rFonts w:ascii="仿宋" w:eastAsia="仿宋" w:hAnsi="仿宋" w:hint="eastAsia"/>
          <w:sz w:val="32"/>
          <w:szCs w:val="32"/>
        </w:rPr>
        <w:t>十六</w:t>
      </w:r>
      <w:r>
        <w:rPr>
          <w:rFonts w:ascii="仿宋" w:eastAsia="仿宋" w:hAnsi="仿宋" w:hint="eastAsia"/>
          <w:sz w:val="32"/>
          <w:szCs w:val="32"/>
        </w:rPr>
        <w:t>载，为缓解刑事司法一系列巨大压力、实现科学平衡诉讼效率与程序正义、优化司法资源</w:t>
      </w:r>
      <w:r w:rsidR="00537571">
        <w:rPr>
          <w:rFonts w:ascii="仿宋" w:eastAsia="仿宋" w:hAnsi="仿宋" w:hint="eastAsia"/>
          <w:sz w:val="32"/>
          <w:szCs w:val="32"/>
        </w:rPr>
        <w:t>合理</w:t>
      </w:r>
      <w:r>
        <w:rPr>
          <w:rFonts w:ascii="仿宋" w:eastAsia="仿宋" w:hAnsi="仿宋" w:hint="eastAsia"/>
          <w:sz w:val="32"/>
          <w:szCs w:val="32"/>
        </w:rPr>
        <w:t>配置，提供了重要保障，新《刑事诉讼法》吸收了司法实践中的</w:t>
      </w:r>
      <w:r w:rsidR="00537571">
        <w:rPr>
          <w:rFonts w:ascii="仿宋" w:eastAsia="仿宋" w:hAnsi="仿宋" w:hint="eastAsia"/>
          <w:sz w:val="32"/>
          <w:szCs w:val="32"/>
        </w:rPr>
        <w:t>诸多</w:t>
      </w:r>
      <w:r>
        <w:rPr>
          <w:rFonts w:ascii="仿宋" w:eastAsia="仿宋" w:hAnsi="仿宋" w:hint="eastAsia"/>
          <w:sz w:val="32"/>
          <w:szCs w:val="32"/>
        </w:rPr>
        <w:t>经验，认真评估和认识了现阶段的社会基础，平衡了案件量增加、司法成本有限和人民群众对司法公正的需求等重要司法因素。简易程序在应用的过程中要坚持公正优先</w:t>
      </w:r>
      <w:r w:rsidR="00537571">
        <w:rPr>
          <w:rFonts w:ascii="仿宋" w:eastAsia="仿宋" w:hAnsi="仿宋" w:hint="eastAsia"/>
          <w:sz w:val="32"/>
          <w:szCs w:val="32"/>
        </w:rPr>
        <w:t>、</w:t>
      </w:r>
      <w:r>
        <w:rPr>
          <w:rFonts w:ascii="仿宋" w:eastAsia="仿宋" w:hAnsi="仿宋" w:hint="eastAsia"/>
          <w:sz w:val="32"/>
          <w:szCs w:val="32"/>
        </w:rPr>
        <w:t>兼顾效率理论的原则，只有这样简易程序的应用才能取得良好的</w:t>
      </w:r>
      <w:r w:rsidR="00537571">
        <w:rPr>
          <w:rFonts w:ascii="仿宋" w:eastAsia="仿宋" w:hAnsi="仿宋" w:hint="eastAsia"/>
          <w:sz w:val="32"/>
          <w:szCs w:val="32"/>
        </w:rPr>
        <w:t>法律和社会</w:t>
      </w:r>
      <w:r>
        <w:rPr>
          <w:rFonts w:ascii="仿宋" w:eastAsia="仿宋" w:hAnsi="仿宋" w:hint="eastAsia"/>
          <w:sz w:val="32"/>
          <w:szCs w:val="32"/>
        </w:rPr>
        <w:t>效果。简易程序将部分程序进行简化不可避免的会影响被追诉人的诉讼权利，赋予被追诉</w:t>
      </w:r>
      <w:proofErr w:type="gramStart"/>
      <w:r>
        <w:rPr>
          <w:rFonts w:ascii="仿宋" w:eastAsia="仿宋" w:hAnsi="仿宋" w:hint="eastAsia"/>
          <w:sz w:val="32"/>
          <w:szCs w:val="32"/>
        </w:rPr>
        <w:t>人程序</w:t>
      </w:r>
      <w:proofErr w:type="gramEnd"/>
      <w:r>
        <w:rPr>
          <w:rFonts w:ascii="仿宋" w:eastAsia="仿宋" w:hAnsi="仿宋" w:hint="eastAsia"/>
          <w:sz w:val="32"/>
          <w:szCs w:val="32"/>
        </w:rPr>
        <w:t>选择权是当事人主体性的重要体现，是对被追诉人诉讼参与权和基本人权的保障。被追诉人有权在自由意志下权衡诉讼程序“简”、“普”对自己权利的影响，从自身实际情况出发</w:t>
      </w:r>
      <w:proofErr w:type="gramStart"/>
      <w:r w:rsidR="00537571">
        <w:rPr>
          <w:rFonts w:ascii="仿宋" w:eastAsia="仿宋" w:hAnsi="仿宋" w:hint="eastAsia"/>
          <w:sz w:val="32"/>
          <w:szCs w:val="32"/>
        </w:rPr>
        <w:t>作出</w:t>
      </w:r>
      <w:proofErr w:type="gramEnd"/>
      <w:r>
        <w:rPr>
          <w:rFonts w:ascii="仿宋" w:eastAsia="仿宋" w:hAnsi="仿宋" w:hint="eastAsia"/>
          <w:sz w:val="32"/>
          <w:szCs w:val="32"/>
        </w:rPr>
        <w:t>自己利益最大化的选择。一方面充分调动被告人对诉讼参与的主动性，保障被告人诉讼主体地位，尊重被告人的基本权利</w:t>
      </w:r>
      <w:r w:rsidR="00537571">
        <w:rPr>
          <w:rFonts w:ascii="仿宋" w:eastAsia="仿宋" w:hAnsi="仿宋" w:hint="eastAsia"/>
          <w:sz w:val="32"/>
          <w:szCs w:val="32"/>
        </w:rPr>
        <w:t>；</w:t>
      </w:r>
      <w:r>
        <w:rPr>
          <w:rFonts w:ascii="仿宋" w:eastAsia="仿宋" w:hAnsi="仿宋" w:hint="eastAsia"/>
          <w:sz w:val="32"/>
          <w:szCs w:val="32"/>
        </w:rPr>
        <w:t>另一方面，提高诉讼效率，保证诉讼结果的可接受性。</w:t>
      </w:r>
    </w:p>
    <w:p w:rsidR="00DE558C" w:rsidRDefault="00DE558C">
      <w:pPr>
        <w:ind w:firstLineChars="200" w:firstLine="640"/>
        <w:rPr>
          <w:rFonts w:ascii="仿宋" w:eastAsia="仿宋" w:hAnsi="仿宋"/>
          <w:sz w:val="32"/>
          <w:szCs w:val="32"/>
        </w:rPr>
      </w:pPr>
    </w:p>
    <w:p w:rsidR="00691EC5" w:rsidRDefault="004D736E">
      <w:pPr>
        <w:ind w:firstLineChars="200" w:firstLine="640"/>
        <w:rPr>
          <w:rFonts w:ascii="黑体" w:eastAsia="黑体" w:hAnsi="黑体"/>
          <w:sz w:val="32"/>
          <w:szCs w:val="32"/>
        </w:rPr>
      </w:pPr>
      <w:r>
        <w:rPr>
          <w:rFonts w:ascii="黑体" w:eastAsia="黑体" w:hAnsi="黑体" w:hint="eastAsia"/>
          <w:sz w:val="32"/>
          <w:szCs w:val="32"/>
        </w:rPr>
        <w:t>三、吉林省铁路运输法院刑事简易程序适用情况</w:t>
      </w: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（一）简易程序适用率分析</w:t>
      </w:r>
    </w:p>
    <w:p w:rsidR="00691EC5" w:rsidRDefault="004D736E">
      <w:pPr>
        <w:ind w:firstLine="645"/>
        <w:rPr>
          <w:rFonts w:ascii="仿宋" w:eastAsia="仿宋" w:hAnsi="仿宋"/>
          <w:sz w:val="32"/>
          <w:szCs w:val="32"/>
        </w:rPr>
      </w:pPr>
      <w:r>
        <w:rPr>
          <w:rFonts w:ascii="仿宋" w:eastAsia="仿宋" w:hAnsi="仿宋" w:hint="eastAsia"/>
          <w:sz w:val="32"/>
          <w:szCs w:val="32"/>
        </w:rPr>
        <w:t>三年</w:t>
      </w:r>
      <w:r w:rsidR="00537571">
        <w:rPr>
          <w:rFonts w:ascii="仿宋" w:eastAsia="仿宋" w:hAnsi="仿宋" w:hint="eastAsia"/>
          <w:sz w:val="32"/>
          <w:szCs w:val="32"/>
        </w:rPr>
        <w:t>来</w:t>
      </w:r>
      <w:r>
        <w:rPr>
          <w:rFonts w:ascii="仿宋" w:eastAsia="仿宋" w:hAnsi="仿宋" w:hint="eastAsia"/>
          <w:sz w:val="32"/>
          <w:szCs w:val="32"/>
        </w:rPr>
        <w:t>，吉林省各铁路运输法院刑事简易程序适用情况呈现三种状态：长春铁路法院呈现逐年下降的态势；白城铁路法院呈现逐年上升的态势；吉林铁路法院、通化铁路法院、图们铁路法院的运用情况不稳定，整体呈现出上下波动的态势，其</w:t>
      </w:r>
      <w:r>
        <w:rPr>
          <w:rFonts w:ascii="仿宋" w:eastAsia="仿宋" w:hAnsi="仿宋" w:hint="eastAsia"/>
          <w:sz w:val="32"/>
          <w:szCs w:val="32"/>
        </w:rPr>
        <w:lastRenderedPageBreak/>
        <w:t>中通化铁路法院与图们铁路法院的适用情况起伏较大，吉林铁路法院适用情况起伏相对稳定。</w:t>
      </w:r>
    </w:p>
    <w:p w:rsidR="00691EC5" w:rsidRDefault="004D736E">
      <w:pPr>
        <w:ind w:firstLine="645"/>
        <w:rPr>
          <w:rFonts w:ascii="仿宋" w:eastAsia="仿宋" w:hAnsi="仿宋"/>
          <w:sz w:val="32"/>
          <w:szCs w:val="32"/>
        </w:rPr>
      </w:pPr>
      <w:r>
        <w:rPr>
          <w:rFonts w:ascii="仿宋" w:eastAsia="仿宋" w:hAnsi="仿宋" w:hint="eastAsia"/>
          <w:sz w:val="32"/>
          <w:szCs w:val="32"/>
        </w:rPr>
        <w:t>2014</w:t>
      </w:r>
      <w:r w:rsidR="00537571">
        <w:rPr>
          <w:rFonts w:ascii="仿宋" w:eastAsia="仿宋" w:hAnsi="仿宋" w:hint="eastAsia"/>
          <w:sz w:val="32"/>
          <w:szCs w:val="32"/>
        </w:rPr>
        <w:t>年至</w:t>
      </w:r>
      <w:r>
        <w:rPr>
          <w:rFonts w:ascii="仿宋" w:eastAsia="仿宋" w:hAnsi="仿宋" w:hint="eastAsia"/>
          <w:sz w:val="32"/>
          <w:szCs w:val="32"/>
        </w:rPr>
        <w:t>2016年刑事简易程序适用率，长春铁路法院分别为69.7%、46.5%、42.3%；吉林铁路法院分别为87.5%、96.97%、91%；通化铁路法院分别为89%、90.9%、43.75%；图们铁路法院分别为100%、50%、66.67%；白城铁路法院分别为83.3%、83.3%、86.7%。吉林铁路法院与白城铁路法院简易程序适用情况较好，始终保持在80%以上的适用率。（具体分析见图1）</w:t>
      </w:r>
    </w:p>
    <w:p w:rsidR="00691EC5" w:rsidRDefault="004D736E">
      <w:pPr>
        <w:ind w:firstLine="645"/>
        <w:rPr>
          <w:rFonts w:ascii="仿宋" w:eastAsia="仿宋" w:hAnsi="仿宋"/>
          <w:sz w:val="32"/>
          <w:szCs w:val="32"/>
        </w:rPr>
      </w:pPr>
      <w:r>
        <w:rPr>
          <w:rFonts w:ascii="仿宋" w:eastAsia="仿宋" w:hAnsi="仿宋" w:hint="eastAsia"/>
          <w:noProof/>
          <w:sz w:val="32"/>
          <w:szCs w:val="32"/>
        </w:rPr>
        <w:drawing>
          <wp:inline distT="0" distB="0" distL="0" distR="0">
            <wp:extent cx="4676775" cy="281940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EC5" w:rsidRDefault="004D736E" w:rsidP="00DE558C">
      <w:pPr>
        <w:ind w:firstLineChars="600" w:firstLine="1265"/>
        <w:rPr>
          <w:rFonts w:ascii="楷体" w:eastAsia="楷体" w:hAnsi="楷体"/>
          <w:b/>
          <w:sz w:val="32"/>
          <w:szCs w:val="32"/>
        </w:rPr>
      </w:pPr>
      <w:r>
        <w:rPr>
          <w:rFonts w:asciiTheme="minorEastAsia" w:hAnsiTheme="minorEastAsia" w:hint="eastAsia"/>
          <w:b/>
          <w:szCs w:val="21"/>
        </w:rPr>
        <w:t>图1  2014—2016年</w:t>
      </w:r>
      <w:r>
        <w:rPr>
          <w:rFonts w:asciiTheme="minorEastAsia" w:hAnsiTheme="minorEastAsia" w:hint="eastAsia"/>
          <w:b/>
          <w:bCs/>
          <w:szCs w:val="21"/>
        </w:rPr>
        <w:t>吉林省</w:t>
      </w:r>
      <w:r w:rsidR="00DE558C">
        <w:rPr>
          <w:rFonts w:asciiTheme="minorEastAsia" w:hAnsiTheme="minorEastAsia" w:hint="eastAsia"/>
          <w:b/>
          <w:bCs/>
          <w:szCs w:val="21"/>
        </w:rPr>
        <w:t>五</w:t>
      </w:r>
      <w:r>
        <w:rPr>
          <w:rFonts w:asciiTheme="minorEastAsia" w:hAnsiTheme="minorEastAsia" w:hint="eastAsia"/>
          <w:b/>
          <w:bCs/>
          <w:szCs w:val="21"/>
        </w:rPr>
        <w:t>家铁路法院刑事简易程序适用情况</w:t>
      </w:r>
    </w:p>
    <w:p w:rsidR="003B5FC2" w:rsidRDefault="003B5FC2">
      <w:pPr>
        <w:ind w:firstLineChars="200" w:firstLine="643"/>
        <w:rPr>
          <w:rFonts w:ascii="楷体" w:eastAsia="楷体" w:hAnsi="楷体"/>
          <w:b/>
          <w:sz w:val="32"/>
          <w:szCs w:val="32"/>
        </w:rPr>
      </w:pP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（二）适用简易程序案件类型分析</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新刑事诉讼法对刑事简易程序修正之后，适用案件的范围扩大至除可能判处无期徒刑、死刑</w:t>
      </w:r>
      <w:r w:rsidR="00537571">
        <w:rPr>
          <w:rFonts w:ascii="仿宋" w:eastAsia="仿宋" w:hAnsi="仿宋" w:hint="eastAsia"/>
          <w:sz w:val="32"/>
          <w:szCs w:val="32"/>
        </w:rPr>
        <w:t>之外所有符合简易程序</w:t>
      </w:r>
      <w:r>
        <w:rPr>
          <w:rFonts w:ascii="仿宋" w:eastAsia="仿宋" w:hAnsi="仿宋" w:hint="eastAsia"/>
          <w:sz w:val="32"/>
          <w:szCs w:val="32"/>
        </w:rPr>
        <w:t>的案件。这明显起到了案件分流、快速简便审结案件的功能，有效地缓解了案件数量剧增与司法资源有限之间的矛盾，减轻了当</w:t>
      </w:r>
      <w:r>
        <w:rPr>
          <w:rFonts w:ascii="仿宋" w:eastAsia="仿宋" w:hAnsi="仿宋" w:hint="eastAsia"/>
          <w:sz w:val="32"/>
          <w:szCs w:val="32"/>
        </w:rPr>
        <w:lastRenderedPageBreak/>
        <w:t>事人的</w:t>
      </w:r>
      <w:r w:rsidR="00DE558C">
        <w:rPr>
          <w:rFonts w:ascii="仿宋" w:eastAsia="仿宋" w:hAnsi="仿宋" w:hint="eastAsia"/>
          <w:sz w:val="32"/>
          <w:szCs w:val="32"/>
        </w:rPr>
        <w:t>诉累</w:t>
      </w:r>
      <w:r>
        <w:rPr>
          <w:rFonts w:ascii="仿宋" w:eastAsia="仿宋" w:hAnsi="仿宋" w:hint="eastAsia"/>
          <w:sz w:val="32"/>
          <w:szCs w:val="32"/>
        </w:rPr>
        <w:t>。</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吉林省铁路法院适用简易程序审理的刑事案件，案件类型排名第一位的是盗窃案件，2014</w:t>
      </w:r>
      <w:r w:rsidR="00537571">
        <w:rPr>
          <w:rFonts w:ascii="仿宋" w:eastAsia="仿宋" w:hAnsi="仿宋" w:hint="eastAsia"/>
          <w:sz w:val="32"/>
          <w:szCs w:val="32"/>
        </w:rPr>
        <w:t>年至</w:t>
      </w:r>
      <w:r>
        <w:rPr>
          <w:rFonts w:ascii="仿宋" w:eastAsia="仿宋" w:hAnsi="仿宋" w:hint="eastAsia"/>
          <w:sz w:val="32"/>
          <w:szCs w:val="32"/>
        </w:rPr>
        <w:t>2016年吉林省各铁路法院适用简易程序审结的盗窃案件的数量分别为：长春铁路法院41件，占比75.93%；吉林铁路法院38件，占比44.19%；通化铁路法院27件，占比62.79%；白城铁路法院25件，占比75.76%；图们铁路法院6件，占比54.55%。排名第二位的是诈骗案件，除白城铁路法院未涉及诈骗案件之外，其他四家铁路法院均有此类型案件，尤其是吉林铁路法院的诈骗案件在适用简易程序上还呈现出上升的趋势，2014</w:t>
      </w:r>
      <w:r w:rsidR="00537571">
        <w:rPr>
          <w:rFonts w:ascii="仿宋" w:eastAsia="仿宋" w:hAnsi="仿宋" w:hint="eastAsia"/>
          <w:sz w:val="32"/>
          <w:szCs w:val="32"/>
        </w:rPr>
        <w:t>年至</w:t>
      </w:r>
      <w:r>
        <w:rPr>
          <w:rFonts w:ascii="仿宋" w:eastAsia="仿宋" w:hAnsi="仿宋" w:hint="eastAsia"/>
          <w:sz w:val="32"/>
          <w:szCs w:val="32"/>
        </w:rPr>
        <w:t>2016年吉林省各铁路法院诈骗案受案数分别为1件、14件、31件，占比达53.49%。盗伐林木、故意伤害、寻衅滋事、掩饰隐瞒犯罪所得等类型的案件</w:t>
      </w:r>
      <w:r w:rsidR="00537571">
        <w:rPr>
          <w:rFonts w:ascii="仿宋" w:eastAsia="仿宋" w:hAnsi="仿宋" w:hint="eastAsia"/>
          <w:sz w:val="32"/>
          <w:szCs w:val="32"/>
        </w:rPr>
        <w:t>大多数</w:t>
      </w:r>
      <w:r>
        <w:rPr>
          <w:rFonts w:ascii="仿宋" w:eastAsia="仿宋" w:hAnsi="仿宋" w:hint="eastAsia"/>
          <w:sz w:val="32"/>
          <w:szCs w:val="32"/>
        </w:rPr>
        <w:t>也适用简易程序进行审理。</w:t>
      </w:r>
    </w:p>
    <w:p w:rsidR="003B5FC2" w:rsidRPr="00036FC7" w:rsidRDefault="004D736E" w:rsidP="00036FC7">
      <w:pPr>
        <w:ind w:leftChars="50" w:left="105" w:firstLineChars="150" w:firstLine="480"/>
        <w:rPr>
          <w:rFonts w:ascii="仿宋" w:eastAsia="仿宋" w:hAnsi="仿宋"/>
          <w:sz w:val="32"/>
          <w:szCs w:val="32"/>
        </w:rPr>
      </w:pPr>
      <w:r>
        <w:rPr>
          <w:rFonts w:ascii="仿宋" w:eastAsia="仿宋" w:hAnsi="仿宋" w:hint="eastAsia"/>
          <w:noProof/>
          <w:sz w:val="32"/>
          <w:szCs w:val="32"/>
        </w:rPr>
        <w:drawing>
          <wp:inline distT="0" distB="0" distL="0" distR="0" wp14:anchorId="69332873" wp14:editId="6AA3A495">
            <wp:extent cx="5105400" cy="3276600"/>
            <wp:effectExtent l="0" t="0" r="19050"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EC5" w:rsidRDefault="00DE558C">
      <w:pPr>
        <w:jc w:val="center"/>
        <w:rPr>
          <w:rFonts w:ascii="仿宋" w:eastAsia="仿宋" w:hAnsi="仿宋"/>
          <w:b/>
          <w:sz w:val="32"/>
          <w:szCs w:val="32"/>
        </w:rPr>
      </w:pPr>
      <w:r>
        <w:rPr>
          <w:rFonts w:asciiTheme="minorEastAsia" w:hAnsiTheme="minorEastAsia" w:hint="eastAsia"/>
          <w:b/>
          <w:szCs w:val="21"/>
        </w:rPr>
        <w:t xml:space="preserve">     </w:t>
      </w:r>
      <w:r w:rsidR="004D736E">
        <w:rPr>
          <w:rFonts w:asciiTheme="minorEastAsia" w:hAnsiTheme="minorEastAsia" w:hint="eastAsia"/>
          <w:b/>
          <w:szCs w:val="21"/>
        </w:rPr>
        <w:t>图2  2014—2016年</w:t>
      </w:r>
      <w:r w:rsidR="004D736E">
        <w:rPr>
          <w:rFonts w:asciiTheme="minorEastAsia" w:hAnsiTheme="minorEastAsia" w:hint="eastAsia"/>
          <w:b/>
          <w:bCs/>
          <w:szCs w:val="21"/>
        </w:rPr>
        <w:t>吉林省</w:t>
      </w:r>
      <w:r>
        <w:rPr>
          <w:rFonts w:asciiTheme="minorEastAsia" w:hAnsiTheme="minorEastAsia" w:hint="eastAsia"/>
          <w:b/>
          <w:bCs/>
          <w:szCs w:val="21"/>
        </w:rPr>
        <w:t>五</w:t>
      </w:r>
      <w:r w:rsidR="004D736E">
        <w:rPr>
          <w:rFonts w:asciiTheme="minorEastAsia" w:hAnsiTheme="minorEastAsia" w:hint="eastAsia"/>
          <w:b/>
          <w:bCs/>
          <w:szCs w:val="21"/>
        </w:rPr>
        <w:t>家铁路法院适用简易程序审理案件类型情况</w:t>
      </w: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lastRenderedPageBreak/>
        <w:t>（三）简易程序的启动程序</w:t>
      </w:r>
    </w:p>
    <w:p w:rsidR="00691EC5" w:rsidRDefault="00537571">
      <w:pPr>
        <w:ind w:firstLineChars="200" w:firstLine="640"/>
        <w:rPr>
          <w:rFonts w:ascii="仿宋" w:eastAsia="仿宋" w:hAnsi="仿宋"/>
          <w:sz w:val="32"/>
          <w:szCs w:val="32"/>
        </w:rPr>
      </w:pPr>
      <w:r>
        <w:rPr>
          <w:rFonts w:ascii="仿宋" w:eastAsia="仿宋" w:hAnsi="仿宋" w:hint="eastAsia"/>
          <w:sz w:val="32"/>
          <w:szCs w:val="32"/>
        </w:rPr>
        <w:t>五</w:t>
      </w:r>
      <w:r w:rsidR="004D736E">
        <w:rPr>
          <w:rFonts w:ascii="仿宋" w:eastAsia="仿宋" w:hAnsi="仿宋" w:hint="eastAsia"/>
          <w:sz w:val="32"/>
          <w:szCs w:val="32"/>
        </w:rPr>
        <w:t>家铁路法院对于刑事案件简易程序的适用主要</w:t>
      </w:r>
      <w:r w:rsidR="0099579A">
        <w:rPr>
          <w:rFonts w:ascii="仿宋" w:eastAsia="仿宋" w:hAnsi="仿宋" w:hint="eastAsia"/>
          <w:sz w:val="32"/>
          <w:szCs w:val="32"/>
        </w:rPr>
        <w:t>分为两种情况</w:t>
      </w:r>
      <w:r w:rsidR="004D736E">
        <w:rPr>
          <w:rFonts w:ascii="仿宋" w:eastAsia="仿宋" w:hAnsi="仿宋" w:hint="eastAsia"/>
          <w:sz w:val="32"/>
          <w:szCs w:val="32"/>
        </w:rPr>
        <w:t>三个步骤来启动</w:t>
      </w:r>
      <w:r w:rsidR="0099579A">
        <w:rPr>
          <w:rFonts w:ascii="仿宋" w:eastAsia="仿宋" w:hAnsi="仿宋" w:hint="eastAsia"/>
          <w:sz w:val="32"/>
          <w:szCs w:val="32"/>
        </w:rPr>
        <w:t>。第一种是</w:t>
      </w:r>
      <w:r w:rsidR="006038C5">
        <w:rPr>
          <w:rFonts w:ascii="仿宋" w:eastAsia="仿宋" w:hAnsi="仿宋" w:hint="eastAsia"/>
          <w:sz w:val="32"/>
          <w:szCs w:val="32"/>
        </w:rPr>
        <w:t>公诉机关</w:t>
      </w:r>
      <w:r w:rsidR="004D736E">
        <w:rPr>
          <w:rFonts w:ascii="仿宋" w:eastAsia="仿宋" w:hAnsi="仿宋" w:hint="eastAsia"/>
          <w:sz w:val="32"/>
          <w:szCs w:val="32"/>
        </w:rPr>
        <w:t>建议，</w:t>
      </w:r>
      <w:r w:rsidR="0099579A">
        <w:rPr>
          <w:rFonts w:ascii="仿宋" w:eastAsia="仿宋" w:hAnsi="仿宋" w:hint="eastAsia"/>
          <w:sz w:val="32"/>
          <w:szCs w:val="32"/>
        </w:rPr>
        <w:t>第一步</w:t>
      </w:r>
      <w:r w:rsidR="006038C5">
        <w:rPr>
          <w:rFonts w:ascii="仿宋" w:eastAsia="仿宋" w:hAnsi="仿宋" w:hint="eastAsia"/>
          <w:sz w:val="32"/>
          <w:szCs w:val="32"/>
        </w:rPr>
        <w:t>公诉机关提起公诉时</w:t>
      </w:r>
      <w:r w:rsidR="004D736E">
        <w:rPr>
          <w:rFonts w:ascii="仿宋" w:eastAsia="仿宋" w:hAnsi="仿宋" w:hint="eastAsia"/>
          <w:sz w:val="32"/>
          <w:szCs w:val="32"/>
        </w:rPr>
        <w:t>，根据案件的实际情况，对于符合适用简易程序的案件，一并</w:t>
      </w:r>
      <w:r w:rsidR="006038C5">
        <w:rPr>
          <w:rFonts w:ascii="仿宋" w:eastAsia="仿宋" w:hAnsi="仿宋" w:hint="eastAsia"/>
          <w:sz w:val="32"/>
          <w:szCs w:val="32"/>
        </w:rPr>
        <w:t>移送</w:t>
      </w:r>
      <w:r w:rsidR="004D736E">
        <w:rPr>
          <w:rFonts w:ascii="仿宋" w:eastAsia="仿宋" w:hAnsi="仿宋" w:hint="eastAsia"/>
          <w:sz w:val="32"/>
          <w:szCs w:val="32"/>
        </w:rPr>
        <w:t>适用简易程序建议书；</w:t>
      </w:r>
      <w:r w:rsidR="0099579A">
        <w:rPr>
          <w:rFonts w:ascii="仿宋" w:eastAsia="仿宋" w:hAnsi="仿宋" w:hint="eastAsia"/>
          <w:sz w:val="32"/>
          <w:szCs w:val="32"/>
        </w:rPr>
        <w:t>第二步案件移送到法院后，法院制作适用简易程序征求意见书，在向被告人送达起诉书时，一并提交适用简易程序征求意见书</w:t>
      </w:r>
      <w:r w:rsidR="003B7942">
        <w:rPr>
          <w:rFonts w:ascii="仿宋" w:eastAsia="仿宋" w:hAnsi="仿宋" w:hint="eastAsia"/>
          <w:sz w:val="32"/>
          <w:szCs w:val="32"/>
        </w:rPr>
        <w:t>；</w:t>
      </w:r>
      <w:r w:rsidR="0099579A">
        <w:rPr>
          <w:rFonts w:ascii="仿宋" w:eastAsia="仿宋" w:hAnsi="仿宋" w:hint="eastAsia"/>
          <w:sz w:val="32"/>
          <w:szCs w:val="32"/>
        </w:rPr>
        <w:t>第三步法院决定，基于检察院建议、被告人同意的前提下，法院会制作简易程序决定书</w:t>
      </w:r>
      <w:r w:rsidR="003B7942">
        <w:rPr>
          <w:rFonts w:ascii="仿宋" w:eastAsia="仿宋" w:hAnsi="仿宋" w:hint="eastAsia"/>
          <w:sz w:val="32"/>
          <w:szCs w:val="32"/>
        </w:rPr>
        <w:t>。第</w:t>
      </w:r>
      <w:r w:rsidR="0099579A">
        <w:rPr>
          <w:rFonts w:ascii="仿宋" w:eastAsia="仿宋" w:hAnsi="仿宋" w:hint="eastAsia"/>
          <w:sz w:val="32"/>
          <w:szCs w:val="32"/>
        </w:rPr>
        <w:t>二</w:t>
      </w:r>
      <w:r w:rsidR="003B7942">
        <w:rPr>
          <w:rFonts w:ascii="仿宋" w:eastAsia="仿宋" w:hAnsi="仿宋" w:hint="eastAsia"/>
          <w:sz w:val="32"/>
          <w:szCs w:val="32"/>
        </w:rPr>
        <w:t>种</w:t>
      </w:r>
      <w:r w:rsidR="0099579A">
        <w:rPr>
          <w:rFonts w:ascii="仿宋" w:eastAsia="仿宋" w:hAnsi="仿宋" w:hint="eastAsia"/>
          <w:sz w:val="32"/>
          <w:szCs w:val="32"/>
        </w:rPr>
        <w:t>是公诉机关没有提出建议，</w:t>
      </w:r>
      <w:r w:rsidR="003B7942">
        <w:rPr>
          <w:rFonts w:ascii="仿宋" w:eastAsia="仿宋" w:hAnsi="仿宋" w:hint="eastAsia"/>
          <w:sz w:val="32"/>
          <w:szCs w:val="32"/>
        </w:rPr>
        <w:t>第一步</w:t>
      </w:r>
      <w:r w:rsidR="0099579A">
        <w:rPr>
          <w:rFonts w:ascii="仿宋" w:eastAsia="仿宋" w:hAnsi="仿宋" w:hint="eastAsia"/>
          <w:sz w:val="32"/>
          <w:szCs w:val="32"/>
        </w:rPr>
        <w:t>对于案件事实清楚、证据确实充分，符合简易程序审理的案件，</w:t>
      </w:r>
      <w:r w:rsidR="003B7942">
        <w:rPr>
          <w:rFonts w:ascii="仿宋" w:eastAsia="仿宋" w:hAnsi="仿宋" w:hint="eastAsia"/>
          <w:sz w:val="32"/>
          <w:szCs w:val="32"/>
        </w:rPr>
        <w:t>法院向</w:t>
      </w:r>
      <w:r w:rsidR="0099579A">
        <w:rPr>
          <w:rFonts w:ascii="仿宋" w:eastAsia="仿宋" w:hAnsi="仿宋" w:hint="eastAsia"/>
          <w:sz w:val="32"/>
          <w:szCs w:val="32"/>
        </w:rPr>
        <w:t>被告人</w:t>
      </w:r>
      <w:r w:rsidR="003B7942">
        <w:rPr>
          <w:rFonts w:ascii="仿宋" w:eastAsia="仿宋" w:hAnsi="仿宋" w:hint="eastAsia"/>
          <w:sz w:val="32"/>
          <w:szCs w:val="32"/>
        </w:rPr>
        <w:t>提交</w:t>
      </w:r>
      <w:r w:rsidR="0099579A">
        <w:rPr>
          <w:rFonts w:ascii="仿宋" w:eastAsia="仿宋" w:hAnsi="仿宋" w:hint="eastAsia"/>
          <w:sz w:val="32"/>
          <w:szCs w:val="32"/>
        </w:rPr>
        <w:t>适用简易程序</w:t>
      </w:r>
      <w:r w:rsidR="003B7942">
        <w:rPr>
          <w:rFonts w:ascii="仿宋" w:eastAsia="仿宋" w:hAnsi="仿宋" w:hint="eastAsia"/>
          <w:sz w:val="32"/>
          <w:szCs w:val="32"/>
        </w:rPr>
        <w:t>征求意见书；第二步被告人同意适用简易程序审理案件的情况下，法院</w:t>
      </w:r>
      <w:r w:rsidR="0099579A">
        <w:rPr>
          <w:rFonts w:ascii="仿宋" w:eastAsia="仿宋" w:hAnsi="仿宋" w:hint="eastAsia"/>
          <w:sz w:val="32"/>
          <w:szCs w:val="32"/>
        </w:rPr>
        <w:t>向检察机关提交适用简易程序征求意见书</w:t>
      </w:r>
      <w:r w:rsidR="003B7942">
        <w:rPr>
          <w:rFonts w:ascii="仿宋" w:eastAsia="仿宋" w:hAnsi="仿宋" w:hint="eastAsia"/>
          <w:sz w:val="32"/>
          <w:szCs w:val="32"/>
        </w:rPr>
        <w:t>；第三步法院决定，基于被告人同意、公诉机关同意的前提下，法院会制作简易程序决定书</w:t>
      </w:r>
      <w:r w:rsidR="0099579A">
        <w:rPr>
          <w:rFonts w:ascii="仿宋" w:eastAsia="仿宋" w:hAnsi="仿宋" w:hint="eastAsia"/>
          <w:sz w:val="32"/>
          <w:szCs w:val="32"/>
        </w:rPr>
        <w:t>。</w:t>
      </w:r>
      <w:r w:rsidR="00901ED1">
        <w:rPr>
          <w:rFonts w:ascii="仿宋" w:eastAsia="仿宋" w:hAnsi="仿宋" w:hint="eastAsia"/>
          <w:sz w:val="32"/>
          <w:szCs w:val="32"/>
        </w:rPr>
        <w:t>新《刑事诉讼法》第二百零八条把“被告人对适用简易程序没有异议”作为适用简易程序的条件之一，同时第二百一十一条要求审判人员“告知被告人适用简易程序审理的法律规定，确认被告人是否同意适用简易程序审理”。这是尊重和保障人权的体现，是正当法律程序的要求，是立法的进步。适用简易程序实质上限制了被告人的部分诉讼权利，被告人选择适用简易程序即意味着放弃了普通程序中的相关诉讼权利。被告人作为审判结果的承担者，理应有权选择何种诉讼程序表达自己的意愿，一旦被告人发现</w:t>
      </w:r>
      <w:r w:rsidR="00901ED1">
        <w:rPr>
          <w:rFonts w:ascii="仿宋" w:eastAsia="仿宋" w:hAnsi="仿宋" w:hint="eastAsia"/>
          <w:sz w:val="32"/>
          <w:szCs w:val="32"/>
        </w:rPr>
        <w:lastRenderedPageBreak/>
        <w:t>自己的诉讼权利被侵犯，很可能会以当庭翻供、上诉等方式寻求对抗，这样反而增加诉讼成本，不利于提高诉讼效率，更容易激化社会矛盾，留下社会隐患。</w:t>
      </w:r>
    </w:p>
    <w:p w:rsidR="003B5FC2" w:rsidRDefault="003B5FC2">
      <w:pPr>
        <w:ind w:firstLineChars="200" w:firstLine="640"/>
        <w:rPr>
          <w:rFonts w:ascii="仿宋" w:eastAsia="仿宋" w:hAnsi="仿宋"/>
          <w:sz w:val="32"/>
          <w:szCs w:val="32"/>
        </w:rPr>
      </w:pP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（四）审判组织的构成情况</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《刑事诉讼法》第二百一十条第一款规定简易程序审判</w:t>
      </w:r>
      <w:r w:rsidR="006C38AE">
        <w:rPr>
          <w:rFonts w:ascii="仿宋" w:eastAsia="仿宋" w:hAnsi="仿宋" w:hint="eastAsia"/>
          <w:sz w:val="32"/>
          <w:szCs w:val="32"/>
        </w:rPr>
        <w:t>组织</w:t>
      </w:r>
      <w:r>
        <w:rPr>
          <w:rFonts w:ascii="仿宋" w:eastAsia="仿宋" w:hAnsi="仿宋" w:hint="eastAsia"/>
          <w:sz w:val="32"/>
          <w:szCs w:val="32"/>
        </w:rPr>
        <w:t>形式可采取“双取向”的模式；即“对可能判处有期徒刑超过三年的，应当组成合议庭进行审判”；“对判处刑罚</w:t>
      </w:r>
      <w:r w:rsidR="006C38AE">
        <w:rPr>
          <w:rFonts w:ascii="仿宋" w:eastAsia="仿宋" w:hAnsi="仿宋" w:hint="eastAsia"/>
          <w:sz w:val="32"/>
          <w:szCs w:val="32"/>
        </w:rPr>
        <w:t>三</w:t>
      </w:r>
      <w:r>
        <w:rPr>
          <w:rFonts w:ascii="仿宋" w:eastAsia="仿宋" w:hAnsi="仿宋" w:hint="eastAsia"/>
          <w:sz w:val="32"/>
          <w:szCs w:val="32"/>
        </w:rPr>
        <w:t>年以下采取独任制审判”。</w:t>
      </w:r>
      <w:r w:rsidR="006C38AE">
        <w:rPr>
          <w:rFonts w:ascii="仿宋" w:eastAsia="仿宋" w:hAnsi="仿宋" w:hint="eastAsia"/>
          <w:sz w:val="32"/>
          <w:szCs w:val="32"/>
        </w:rPr>
        <w:t>五</w:t>
      </w:r>
      <w:r>
        <w:rPr>
          <w:rFonts w:ascii="仿宋" w:eastAsia="仿宋" w:hAnsi="仿宋" w:hint="eastAsia"/>
          <w:sz w:val="32"/>
          <w:szCs w:val="32"/>
        </w:rPr>
        <w:t>家铁路法院均严格按照程序规定，对判处刑罚</w:t>
      </w:r>
      <w:r w:rsidR="006C38AE">
        <w:rPr>
          <w:rFonts w:ascii="仿宋" w:eastAsia="仿宋" w:hAnsi="仿宋" w:hint="eastAsia"/>
          <w:sz w:val="32"/>
          <w:szCs w:val="32"/>
        </w:rPr>
        <w:t>三</w:t>
      </w:r>
      <w:r>
        <w:rPr>
          <w:rFonts w:ascii="仿宋" w:eastAsia="仿宋" w:hAnsi="仿宋" w:hint="eastAsia"/>
          <w:sz w:val="32"/>
          <w:szCs w:val="32"/>
        </w:rPr>
        <w:t>年以上的采取合议制审判，对判处刑罚</w:t>
      </w:r>
      <w:r w:rsidR="006C38AE">
        <w:rPr>
          <w:rFonts w:ascii="仿宋" w:eastAsia="仿宋" w:hAnsi="仿宋" w:hint="eastAsia"/>
          <w:sz w:val="32"/>
          <w:szCs w:val="32"/>
        </w:rPr>
        <w:t>三</w:t>
      </w:r>
      <w:r>
        <w:rPr>
          <w:rFonts w:ascii="仿宋" w:eastAsia="仿宋" w:hAnsi="仿宋" w:hint="eastAsia"/>
          <w:sz w:val="32"/>
          <w:szCs w:val="32"/>
        </w:rPr>
        <w:t>年以下的采取独任制进行审判。（具体情况分析见图3）</w:t>
      </w:r>
    </w:p>
    <w:p w:rsidR="00691EC5" w:rsidRDefault="00691EC5">
      <w:pPr>
        <w:ind w:firstLineChars="200" w:firstLine="360"/>
        <w:rPr>
          <w:rFonts w:ascii="仿宋" w:eastAsia="仿宋" w:hAnsi="仿宋"/>
          <w:sz w:val="18"/>
          <w:szCs w:val="18"/>
        </w:rPr>
      </w:pPr>
    </w:p>
    <w:tbl>
      <w:tblPr>
        <w:tblStyle w:val="a8"/>
        <w:tblW w:w="9151" w:type="dxa"/>
        <w:tblLayout w:type="fixed"/>
        <w:tblLook w:val="04A0" w:firstRow="1" w:lastRow="0" w:firstColumn="1" w:lastColumn="0" w:noHBand="0" w:noVBand="1"/>
      </w:tblPr>
      <w:tblGrid>
        <w:gridCol w:w="2518"/>
        <w:gridCol w:w="737"/>
        <w:gridCol w:w="737"/>
        <w:gridCol w:w="737"/>
        <w:gridCol w:w="737"/>
        <w:gridCol w:w="737"/>
        <w:gridCol w:w="737"/>
        <w:gridCol w:w="737"/>
        <w:gridCol w:w="737"/>
        <w:gridCol w:w="737"/>
      </w:tblGrid>
      <w:tr w:rsidR="00691EC5">
        <w:tc>
          <w:tcPr>
            <w:tcW w:w="2518" w:type="dxa"/>
            <w:vMerge w:val="restart"/>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法 院</w:t>
            </w:r>
          </w:p>
        </w:tc>
        <w:tc>
          <w:tcPr>
            <w:tcW w:w="2211" w:type="dxa"/>
            <w:gridSpan w:val="3"/>
            <w:tcBorders>
              <w:top w:val="single" w:sz="12" w:space="0" w:color="auto"/>
              <w:left w:val="single" w:sz="12" w:space="0" w:color="auto"/>
              <w:bottom w:val="single" w:sz="4"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2014年</w:t>
            </w:r>
          </w:p>
        </w:tc>
        <w:tc>
          <w:tcPr>
            <w:tcW w:w="2211" w:type="dxa"/>
            <w:gridSpan w:val="3"/>
            <w:tcBorders>
              <w:top w:val="single" w:sz="12" w:space="0" w:color="auto"/>
              <w:left w:val="single" w:sz="12" w:space="0" w:color="auto"/>
              <w:bottom w:val="single" w:sz="4"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2015年</w:t>
            </w:r>
          </w:p>
        </w:tc>
        <w:tc>
          <w:tcPr>
            <w:tcW w:w="2211" w:type="dxa"/>
            <w:gridSpan w:val="3"/>
            <w:tcBorders>
              <w:top w:val="single" w:sz="12" w:space="0" w:color="auto"/>
              <w:left w:val="single" w:sz="12" w:space="0" w:color="auto"/>
              <w:bottom w:val="single" w:sz="4"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2016年</w:t>
            </w:r>
          </w:p>
        </w:tc>
      </w:tr>
      <w:tr w:rsidR="00691EC5">
        <w:tc>
          <w:tcPr>
            <w:tcW w:w="2518" w:type="dxa"/>
            <w:vMerge/>
            <w:tcBorders>
              <w:left w:val="single" w:sz="12" w:space="0" w:color="auto"/>
              <w:right w:val="single" w:sz="12" w:space="0" w:color="auto"/>
            </w:tcBorders>
            <w:vAlign w:val="center"/>
          </w:tcPr>
          <w:p w:rsidR="00691EC5" w:rsidRDefault="00691EC5">
            <w:pPr>
              <w:jc w:val="center"/>
              <w:rPr>
                <w:rFonts w:ascii="仿宋" w:eastAsia="仿宋" w:hAnsi="仿宋"/>
                <w:sz w:val="28"/>
                <w:szCs w:val="28"/>
              </w:rPr>
            </w:pPr>
          </w:p>
        </w:tc>
        <w:tc>
          <w:tcPr>
            <w:tcW w:w="737" w:type="dxa"/>
            <w:tcBorders>
              <w:top w:val="single" w:sz="4" w:space="0" w:color="auto"/>
              <w:lef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独</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任</w:t>
            </w:r>
          </w:p>
          <w:p w:rsidR="00691EC5" w:rsidRDefault="004D736E">
            <w:pPr>
              <w:spacing w:line="240" w:lineRule="exact"/>
              <w:jc w:val="center"/>
              <w:rPr>
                <w:rFonts w:ascii="仿宋" w:eastAsia="仿宋" w:hAnsi="仿宋"/>
                <w:sz w:val="28"/>
                <w:szCs w:val="28"/>
              </w:rPr>
            </w:pPr>
            <w:r>
              <w:rPr>
                <w:rFonts w:ascii="仿宋" w:eastAsia="仿宋" w:hAnsi="仿宋" w:hint="eastAsia"/>
                <w:sz w:val="24"/>
                <w:szCs w:val="24"/>
              </w:rPr>
              <w:t>制</w:t>
            </w:r>
          </w:p>
        </w:tc>
        <w:tc>
          <w:tcPr>
            <w:tcW w:w="737" w:type="dxa"/>
            <w:tcBorders>
              <w:top w:val="single" w:sz="4"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合</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议</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制</w:t>
            </w:r>
          </w:p>
        </w:tc>
        <w:tc>
          <w:tcPr>
            <w:tcW w:w="737" w:type="dxa"/>
            <w:tcBorders>
              <w:top w:val="single" w:sz="4" w:space="0" w:color="auto"/>
              <w:righ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3年</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以上</w:t>
            </w:r>
          </w:p>
        </w:tc>
        <w:tc>
          <w:tcPr>
            <w:tcW w:w="737" w:type="dxa"/>
            <w:tcBorders>
              <w:top w:val="single" w:sz="4" w:space="0" w:color="auto"/>
              <w:lef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独</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任</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制</w:t>
            </w:r>
          </w:p>
        </w:tc>
        <w:tc>
          <w:tcPr>
            <w:tcW w:w="737" w:type="dxa"/>
            <w:tcBorders>
              <w:top w:val="single" w:sz="4"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合</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议</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制</w:t>
            </w:r>
          </w:p>
        </w:tc>
        <w:tc>
          <w:tcPr>
            <w:tcW w:w="737" w:type="dxa"/>
            <w:tcBorders>
              <w:top w:val="single" w:sz="4" w:space="0" w:color="auto"/>
              <w:righ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3年</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以上</w:t>
            </w:r>
          </w:p>
        </w:tc>
        <w:tc>
          <w:tcPr>
            <w:tcW w:w="737" w:type="dxa"/>
            <w:tcBorders>
              <w:top w:val="single" w:sz="4" w:space="0" w:color="auto"/>
              <w:lef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独</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任</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制</w:t>
            </w:r>
          </w:p>
        </w:tc>
        <w:tc>
          <w:tcPr>
            <w:tcW w:w="737" w:type="dxa"/>
            <w:tcBorders>
              <w:top w:val="single" w:sz="4"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合</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议</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制</w:t>
            </w:r>
          </w:p>
        </w:tc>
        <w:tc>
          <w:tcPr>
            <w:tcW w:w="737" w:type="dxa"/>
            <w:tcBorders>
              <w:top w:val="single" w:sz="4" w:space="0" w:color="auto"/>
              <w:right w:val="single" w:sz="12" w:space="0" w:color="auto"/>
            </w:tcBorders>
            <w:vAlign w:val="center"/>
          </w:tcPr>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3年</w:t>
            </w:r>
          </w:p>
          <w:p w:rsidR="00691EC5" w:rsidRDefault="004D736E">
            <w:pPr>
              <w:spacing w:line="240" w:lineRule="exact"/>
              <w:jc w:val="center"/>
              <w:rPr>
                <w:rFonts w:ascii="仿宋" w:eastAsia="仿宋" w:hAnsi="仿宋"/>
                <w:sz w:val="24"/>
                <w:szCs w:val="24"/>
              </w:rPr>
            </w:pPr>
            <w:r>
              <w:rPr>
                <w:rFonts w:ascii="仿宋" w:eastAsia="仿宋" w:hAnsi="仿宋" w:hint="eastAsia"/>
                <w:sz w:val="24"/>
                <w:szCs w:val="24"/>
              </w:rPr>
              <w:t>以上</w:t>
            </w:r>
          </w:p>
        </w:tc>
      </w:tr>
      <w:tr w:rsidR="00691EC5">
        <w:tc>
          <w:tcPr>
            <w:tcW w:w="2518"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长春铁路运输法院</w:t>
            </w:r>
          </w:p>
        </w:tc>
        <w:tc>
          <w:tcPr>
            <w:tcW w:w="737" w:type="dxa"/>
            <w:tcBorders>
              <w:top w:val="single" w:sz="12" w:space="0" w:color="auto"/>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23</w:t>
            </w:r>
          </w:p>
        </w:tc>
        <w:tc>
          <w:tcPr>
            <w:tcW w:w="737" w:type="dxa"/>
            <w:tcBorders>
              <w:top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top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top w:val="single" w:sz="12" w:space="0" w:color="auto"/>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20</w:t>
            </w:r>
          </w:p>
        </w:tc>
        <w:tc>
          <w:tcPr>
            <w:tcW w:w="737" w:type="dxa"/>
            <w:tcBorders>
              <w:top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top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top w:val="single" w:sz="12" w:space="0" w:color="auto"/>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11</w:t>
            </w:r>
          </w:p>
        </w:tc>
        <w:tc>
          <w:tcPr>
            <w:tcW w:w="737" w:type="dxa"/>
            <w:tcBorders>
              <w:top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top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r>
      <w:tr w:rsidR="00691EC5">
        <w:tc>
          <w:tcPr>
            <w:tcW w:w="2518"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吉林铁路运输法院</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14</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31</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40</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r>
      <w:tr w:rsidR="00691EC5">
        <w:tc>
          <w:tcPr>
            <w:tcW w:w="2518"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通化铁路运输法院</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16</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20</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7</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r>
      <w:tr w:rsidR="00691EC5">
        <w:tc>
          <w:tcPr>
            <w:tcW w:w="2518"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图们铁路运输法院</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5</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4</w:t>
            </w:r>
          </w:p>
        </w:tc>
        <w:tc>
          <w:tcPr>
            <w:tcW w:w="737"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c>
          <w:tcPr>
            <w:tcW w:w="737"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0</w:t>
            </w:r>
          </w:p>
        </w:tc>
      </w:tr>
      <w:tr w:rsidR="00691EC5">
        <w:tc>
          <w:tcPr>
            <w:tcW w:w="2518" w:type="dxa"/>
            <w:tcBorders>
              <w:left w:val="single" w:sz="12" w:space="0" w:color="auto"/>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白城铁路运输法院</w:t>
            </w:r>
          </w:p>
        </w:tc>
        <w:tc>
          <w:tcPr>
            <w:tcW w:w="737" w:type="dxa"/>
            <w:tcBorders>
              <w:left w:val="single" w:sz="12" w:space="0" w:color="auto"/>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8</w:t>
            </w:r>
          </w:p>
        </w:tc>
        <w:tc>
          <w:tcPr>
            <w:tcW w:w="737" w:type="dxa"/>
            <w:tcBorders>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w:t>
            </w:r>
          </w:p>
        </w:tc>
        <w:tc>
          <w:tcPr>
            <w:tcW w:w="737" w:type="dxa"/>
            <w:tcBorders>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w:t>
            </w:r>
          </w:p>
        </w:tc>
        <w:tc>
          <w:tcPr>
            <w:tcW w:w="737" w:type="dxa"/>
            <w:tcBorders>
              <w:left w:val="single" w:sz="12" w:space="0" w:color="auto"/>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9</w:t>
            </w:r>
          </w:p>
        </w:tc>
        <w:tc>
          <w:tcPr>
            <w:tcW w:w="737" w:type="dxa"/>
            <w:tcBorders>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w:t>
            </w:r>
          </w:p>
        </w:tc>
        <w:tc>
          <w:tcPr>
            <w:tcW w:w="737" w:type="dxa"/>
            <w:tcBorders>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w:t>
            </w:r>
          </w:p>
        </w:tc>
        <w:tc>
          <w:tcPr>
            <w:tcW w:w="737" w:type="dxa"/>
            <w:tcBorders>
              <w:left w:val="single" w:sz="12" w:space="0" w:color="auto"/>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11</w:t>
            </w:r>
          </w:p>
        </w:tc>
        <w:tc>
          <w:tcPr>
            <w:tcW w:w="737" w:type="dxa"/>
            <w:tcBorders>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w:t>
            </w:r>
          </w:p>
        </w:tc>
        <w:tc>
          <w:tcPr>
            <w:tcW w:w="737" w:type="dxa"/>
            <w:tcBorders>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w:t>
            </w:r>
          </w:p>
        </w:tc>
      </w:tr>
    </w:tbl>
    <w:p w:rsidR="00691EC5" w:rsidRDefault="004D736E">
      <w:pPr>
        <w:jc w:val="center"/>
        <w:rPr>
          <w:rFonts w:ascii="楷体" w:eastAsia="楷体" w:hAnsi="楷体"/>
          <w:sz w:val="32"/>
          <w:szCs w:val="32"/>
        </w:rPr>
      </w:pPr>
      <w:r>
        <w:rPr>
          <w:rFonts w:asciiTheme="minorEastAsia" w:hAnsiTheme="minorEastAsia" w:hint="eastAsia"/>
          <w:b/>
          <w:szCs w:val="21"/>
        </w:rPr>
        <w:t xml:space="preserve">   </w:t>
      </w:r>
      <w:r w:rsidR="00036FC7">
        <w:rPr>
          <w:rFonts w:asciiTheme="minorEastAsia" w:hAnsiTheme="minorEastAsia" w:hint="eastAsia"/>
          <w:b/>
          <w:szCs w:val="21"/>
        </w:rPr>
        <w:t xml:space="preserve">   </w:t>
      </w:r>
      <w:r>
        <w:rPr>
          <w:rFonts w:asciiTheme="minorEastAsia" w:hAnsiTheme="minorEastAsia" w:hint="eastAsia"/>
          <w:b/>
          <w:szCs w:val="21"/>
        </w:rPr>
        <w:t>图3   2014—2016年</w:t>
      </w:r>
      <w:r>
        <w:rPr>
          <w:rFonts w:asciiTheme="minorEastAsia" w:hAnsiTheme="minorEastAsia" w:hint="eastAsia"/>
          <w:b/>
          <w:bCs/>
          <w:szCs w:val="21"/>
        </w:rPr>
        <w:t>吉林省</w:t>
      </w:r>
      <w:r w:rsidR="00DE558C">
        <w:rPr>
          <w:rFonts w:asciiTheme="minorEastAsia" w:hAnsiTheme="minorEastAsia" w:hint="eastAsia"/>
          <w:b/>
          <w:bCs/>
          <w:szCs w:val="21"/>
        </w:rPr>
        <w:t>五</w:t>
      </w:r>
      <w:r>
        <w:rPr>
          <w:rFonts w:asciiTheme="minorEastAsia" w:hAnsiTheme="minorEastAsia" w:hint="eastAsia"/>
          <w:b/>
          <w:bCs/>
          <w:szCs w:val="21"/>
        </w:rPr>
        <w:t>家铁路法院适用简易程序审理案件审判组织情况</w:t>
      </w:r>
    </w:p>
    <w:p w:rsidR="003B5FC2" w:rsidRDefault="003B5FC2">
      <w:pPr>
        <w:ind w:firstLineChars="200" w:firstLine="643"/>
        <w:rPr>
          <w:rFonts w:ascii="楷体" w:eastAsia="楷体" w:hAnsi="楷体"/>
          <w:b/>
          <w:sz w:val="32"/>
          <w:szCs w:val="32"/>
        </w:rPr>
      </w:pP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（五）</w:t>
      </w:r>
      <w:r w:rsidR="006C38AE">
        <w:rPr>
          <w:rFonts w:ascii="楷体" w:eastAsia="楷体" w:hAnsi="楷体" w:hint="eastAsia"/>
          <w:b/>
          <w:sz w:val="32"/>
          <w:szCs w:val="32"/>
        </w:rPr>
        <w:t>公诉人</w:t>
      </w:r>
      <w:r>
        <w:rPr>
          <w:rFonts w:ascii="楷体" w:eastAsia="楷体" w:hAnsi="楷体" w:hint="eastAsia"/>
          <w:b/>
          <w:sz w:val="32"/>
          <w:szCs w:val="32"/>
        </w:rPr>
        <w:t>出庭情况分析</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新《刑事诉讼法》第二百一十条第二款规定：“适用简易程序审理的公诉案件，人民检察院应当派员出席法庭。”第二百零三条规定：“人民检察院发现人民法院审理案件违反法律</w:t>
      </w:r>
      <w:r>
        <w:rPr>
          <w:rFonts w:ascii="仿宋" w:eastAsia="仿宋" w:hAnsi="仿宋" w:hint="eastAsia"/>
          <w:sz w:val="32"/>
          <w:szCs w:val="32"/>
        </w:rPr>
        <w:lastRenderedPageBreak/>
        <w:t>规定的诉讼程序，有权向人民法院提出纠正意见。”检察院是国家的法律监督机关，依法对刑事诉讼全过程实行法律监督，涵盖各个环节、各个程序。公诉人出庭既是行使其控诉职能的需要，也是履行审判监督职能的需要。按照新《刑事诉讼法》的要求，检察院公诉人出庭支持公诉不再像以前一样根据案件</w:t>
      </w:r>
      <w:r w:rsidR="006C38AE">
        <w:rPr>
          <w:rFonts w:ascii="仿宋" w:eastAsia="仿宋" w:hAnsi="仿宋" w:hint="eastAsia"/>
          <w:sz w:val="32"/>
          <w:szCs w:val="32"/>
        </w:rPr>
        <w:t>适用程序普通程序的派员出庭，简易程序的不派员出庭的做法</w:t>
      </w:r>
      <w:r>
        <w:rPr>
          <w:rFonts w:ascii="仿宋" w:eastAsia="仿宋" w:hAnsi="仿宋" w:hint="eastAsia"/>
          <w:sz w:val="32"/>
          <w:szCs w:val="32"/>
        </w:rPr>
        <w:t>，而是能够做到均派员出庭支持公诉。做到维持简易审判程序最低限度公正性的必要保证。公诉人出庭支持公诉，实现了真正意义上的控、辩、审三方的审判构造，从结构上保证控辩平衡、</w:t>
      </w:r>
      <w:proofErr w:type="gramStart"/>
      <w:r>
        <w:rPr>
          <w:rFonts w:ascii="仿宋" w:eastAsia="仿宋" w:hAnsi="仿宋" w:hint="eastAsia"/>
          <w:sz w:val="32"/>
          <w:szCs w:val="32"/>
        </w:rPr>
        <w:t>控审分离</w:t>
      </w:r>
      <w:proofErr w:type="gramEnd"/>
      <w:r>
        <w:rPr>
          <w:rFonts w:ascii="仿宋" w:eastAsia="仿宋" w:hAnsi="仿宋" w:hint="eastAsia"/>
          <w:sz w:val="32"/>
          <w:szCs w:val="32"/>
        </w:rPr>
        <w:t>、审判中立，真正保障被告人的诉讼权利，实现了程序上的正义。</w:t>
      </w:r>
      <w:r w:rsidR="00F068BA">
        <w:rPr>
          <w:rFonts w:ascii="仿宋" w:eastAsia="仿宋" w:hAnsi="仿宋" w:hint="eastAsia"/>
          <w:sz w:val="32"/>
          <w:szCs w:val="32"/>
        </w:rPr>
        <w:t>五</w:t>
      </w:r>
      <w:r>
        <w:rPr>
          <w:rFonts w:ascii="仿宋" w:eastAsia="仿宋" w:hAnsi="仿宋" w:hint="eastAsia"/>
          <w:sz w:val="32"/>
          <w:szCs w:val="32"/>
        </w:rPr>
        <w:t>家铁路法院在简易程序的适用方面上，</w:t>
      </w:r>
      <w:r w:rsidR="00F068BA">
        <w:rPr>
          <w:rFonts w:ascii="仿宋" w:eastAsia="仿宋" w:hAnsi="仿宋" w:hint="eastAsia"/>
          <w:sz w:val="32"/>
          <w:szCs w:val="32"/>
        </w:rPr>
        <w:t>公诉人</w:t>
      </w:r>
      <w:r>
        <w:rPr>
          <w:rFonts w:ascii="仿宋" w:eastAsia="仿宋" w:hAnsi="仿宋" w:hint="eastAsia"/>
          <w:sz w:val="32"/>
          <w:szCs w:val="32"/>
        </w:rPr>
        <w:t>出庭率是100%，即做到了有案必出庭。</w:t>
      </w:r>
    </w:p>
    <w:p w:rsidR="003B5FC2" w:rsidRDefault="003B5FC2">
      <w:pPr>
        <w:ind w:firstLineChars="200" w:firstLine="640"/>
        <w:rPr>
          <w:rFonts w:ascii="仿宋" w:eastAsia="仿宋" w:hAnsi="仿宋"/>
          <w:sz w:val="32"/>
          <w:szCs w:val="32"/>
        </w:rPr>
      </w:pPr>
    </w:p>
    <w:p w:rsidR="00691EC5" w:rsidRDefault="004D736E">
      <w:pPr>
        <w:ind w:firstLineChars="100" w:firstLine="321"/>
        <w:rPr>
          <w:rFonts w:ascii="仿宋" w:eastAsia="仿宋" w:hAnsi="仿宋"/>
          <w:b/>
          <w:sz w:val="32"/>
          <w:szCs w:val="32"/>
        </w:rPr>
      </w:pPr>
      <w:r>
        <w:rPr>
          <w:rFonts w:ascii="楷体" w:eastAsia="楷体" w:hAnsi="楷体" w:hint="eastAsia"/>
          <w:b/>
          <w:sz w:val="32"/>
          <w:szCs w:val="32"/>
        </w:rPr>
        <w:t>（六）简易程序的适用应兼顾公正与效率</w:t>
      </w:r>
    </w:p>
    <w:p w:rsidR="00691EC5" w:rsidRDefault="004D736E">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庭审程序</w:t>
      </w:r>
      <w:r>
        <w:rPr>
          <w:rFonts w:ascii="仿宋" w:eastAsia="仿宋" w:hAnsi="仿宋" w:hint="eastAsia"/>
          <w:b/>
          <w:sz w:val="32"/>
          <w:szCs w:val="32"/>
        </w:rPr>
        <w:t>简化情况</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新法实施后，简易程序开庭时，法官宣布开庭后，审判人员确认被告人身份情况及是否同意适用简易程序后，公诉人宣读起诉书认定的事实，举证环节只宣布证据种类及对证据进行综合分析</w:t>
      </w:r>
      <w:r w:rsidR="00F068BA">
        <w:rPr>
          <w:rFonts w:ascii="仿宋" w:eastAsia="仿宋" w:hAnsi="仿宋" w:hint="eastAsia"/>
          <w:sz w:val="32"/>
          <w:szCs w:val="32"/>
        </w:rPr>
        <w:t>说明</w:t>
      </w:r>
      <w:r>
        <w:rPr>
          <w:rFonts w:ascii="仿宋" w:eastAsia="仿宋" w:hAnsi="仿宋" w:hint="eastAsia"/>
          <w:sz w:val="32"/>
          <w:szCs w:val="32"/>
        </w:rPr>
        <w:t>，在法庭辩论中公诉人对量刑意见着重进行发表，由于整个过程所走的程序较之以往公诉人不出庭而言比较规范，因此在平均审理时间上稍有增加，但也在情理之内，基本保证了较高的诉讼效率。庭审时间的缩短，并没有影响辩护权</w:t>
      </w:r>
      <w:r>
        <w:rPr>
          <w:rFonts w:ascii="仿宋" w:eastAsia="仿宋" w:hAnsi="仿宋" w:hint="eastAsia"/>
          <w:sz w:val="32"/>
          <w:szCs w:val="32"/>
        </w:rPr>
        <w:lastRenderedPageBreak/>
        <w:t>的实现，相反，整个简易程序法庭辩论的时间最长</w:t>
      </w:r>
      <w:r w:rsidR="00F068BA">
        <w:rPr>
          <w:rFonts w:ascii="仿宋" w:eastAsia="仿宋" w:hAnsi="仿宋" w:hint="eastAsia"/>
          <w:sz w:val="32"/>
          <w:szCs w:val="32"/>
        </w:rPr>
        <w:t>。</w:t>
      </w:r>
      <w:r>
        <w:rPr>
          <w:rFonts w:ascii="仿宋" w:eastAsia="仿宋" w:hAnsi="仿宋" w:hint="eastAsia"/>
          <w:sz w:val="32"/>
          <w:szCs w:val="32"/>
        </w:rPr>
        <w:t>每个案件都保证了被告人最后陈述权，由于简易程序被告人绝大多数出于自愿、真心认罪，因此最后陈述一般都比较简单。因此庭审的时间也比较短，与普通程序比较而言，新简易程序在保证基本程序正义的前提下，极大地提高了诉讼效率。</w:t>
      </w:r>
    </w:p>
    <w:p w:rsidR="00FA43A9" w:rsidRPr="00DE558C" w:rsidRDefault="00FA43A9" w:rsidP="00FA43A9">
      <w:pPr>
        <w:ind w:firstLineChars="200" w:firstLine="643"/>
        <w:rPr>
          <w:rFonts w:ascii="仿宋" w:eastAsia="仿宋" w:hAnsi="仿宋"/>
          <w:b/>
          <w:sz w:val="32"/>
          <w:szCs w:val="32"/>
        </w:rPr>
      </w:pPr>
      <w:r w:rsidRPr="00DE558C">
        <w:rPr>
          <w:rFonts w:ascii="仿宋" w:eastAsia="仿宋" w:hAnsi="仿宋" w:hint="eastAsia"/>
          <w:b/>
          <w:sz w:val="32"/>
          <w:szCs w:val="32"/>
        </w:rPr>
        <w:t>2.简易程序案件适用量刑规范化情况</w:t>
      </w:r>
    </w:p>
    <w:p w:rsidR="00FA43A9" w:rsidRDefault="00FA43A9" w:rsidP="00FA43A9">
      <w:pPr>
        <w:ind w:firstLineChars="200" w:firstLine="640"/>
        <w:rPr>
          <w:rFonts w:ascii="仿宋" w:eastAsia="仿宋" w:hAnsi="仿宋"/>
          <w:sz w:val="32"/>
          <w:szCs w:val="32"/>
        </w:rPr>
      </w:pPr>
      <w:r w:rsidRPr="00F52BDC">
        <w:rPr>
          <w:rFonts w:ascii="仿宋" w:eastAsia="仿宋" w:hAnsi="仿宋" w:hint="eastAsia"/>
          <w:sz w:val="32"/>
          <w:szCs w:val="32"/>
        </w:rPr>
        <w:t>简易程序和量刑规范化改革作为刑事诉讼制度的重大改革，前者解决司法效率问题、是程序改革方案，</w:t>
      </w:r>
      <w:proofErr w:type="gramStart"/>
      <w:r w:rsidRPr="00F52BDC">
        <w:rPr>
          <w:rFonts w:ascii="仿宋" w:eastAsia="仿宋" w:hAnsi="仿宋" w:hint="eastAsia"/>
          <w:sz w:val="32"/>
          <w:szCs w:val="32"/>
        </w:rPr>
        <w:t>后者解决</w:t>
      </w:r>
      <w:proofErr w:type="gramEnd"/>
      <w:r w:rsidRPr="00F52BDC">
        <w:rPr>
          <w:rFonts w:ascii="仿宋" w:eastAsia="仿宋" w:hAnsi="仿宋" w:hint="eastAsia"/>
          <w:sz w:val="32"/>
          <w:szCs w:val="32"/>
        </w:rPr>
        <w:t>司法公正问题、是实体改革方案</w:t>
      </w:r>
      <w:r>
        <w:rPr>
          <w:rFonts w:ascii="仿宋" w:eastAsia="仿宋" w:hAnsi="仿宋" w:hint="eastAsia"/>
          <w:sz w:val="32"/>
          <w:szCs w:val="32"/>
        </w:rPr>
        <w:t>。因此在适用简易程序审理案件过程中，在追求审判效率的同时始终坚持规范化量刑，做到公正兼顾效率。</w:t>
      </w:r>
    </w:p>
    <w:p w:rsidR="00DE558C" w:rsidRDefault="00DE558C" w:rsidP="00FA43A9">
      <w:pPr>
        <w:ind w:firstLineChars="200" w:firstLine="640"/>
        <w:rPr>
          <w:rFonts w:ascii="仿宋" w:eastAsia="仿宋" w:hAnsi="仿宋"/>
          <w:sz w:val="32"/>
          <w:szCs w:val="32"/>
        </w:rPr>
      </w:pPr>
    </w:p>
    <w:p w:rsidR="00FA43A9" w:rsidRPr="00F52BDC" w:rsidRDefault="00FA43A9" w:rsidP="00FA43A9">
      <w:pPr>
        <w:ind w:firstLineChars="200" w:firstLine="640"/>
        <w:rPr>
          <w:rFonts w:ascii="仿宋" w:eastAsia="仿宋" w:hAnsi="仿宋"/>
          <w:sz w:val="32"/>
          <w:szCs w:val="32"/>
        </w:rPr>
      </w:pPr>
      <w:r w:rsidRPr="00FF2576">
        <w:rPr>
          <w:rFonts w:ascii="仿宋" w:eastAsia="仿宋" w:hAnsi="仿宋"/>
          <w:noProof/>
          <w:sz w:val="32"/>
          <w:szCs w:val="32"/>
        </w:rPr>
        <mc:AlternateContent>
          <mc:Choice Requires="wps">
            <w:drawing>
              <wp:anchor distT="0" distB="0" distL="114300" distR="114300" simplePos="0" relativeHeight="251659264" behindDoc="0" locked="0" layoutInCell="1" allowOverlap="1" wp14:anchorId="55C41BCA" wp14:editId="5F6AF078">
                <wp:simplePos x="0" y="0"/>
                <wp:positionH relativeFrom="column">
                  <wp:posOffset>4914900</wp:posOffset>
                </wp:positionH>
                <wp:positionV relativeFrom="paragraph">
                  <wp:posOffset>3038475</wp:posOffset>
                </wp:positionV>
                <wp:extent cx="619125" cy="266700"/>
                <wp:effectExtent l="0" t="0" r="9525"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noFill/>
                          <a:miter lim="800000"/>
                          <a:headEnd/>
                          <a:tailEnd/>
                        </a:ln>
                      </wps:spPr>
                      <wps:txbx>
                        <w:txbxContent>
                          <w:p w:rsidR="00FA43A9" w:rsidRPr="00FF2576" w:rsidRDefault="00FA43A9" w:rsidP="00FA43A9">
                            <w:pPr>
                              <w:spacing w:line="240" w:lineRule="exact"/>
                              <w:jc w:val="left"/>
                              <w:rPr>
                                <w:spacing w:val="-20"/>
                                <w:sz w:val="15"/>
                                <w:szCs w:val="15"/>
                              </w:rPr>
                            </w:pPr>
                            <w:r>
                              <w:rPr>
                                <w:rFonts w:hint="eastAsia"/>
                                <w:spacing w:val="-20"/>
                                <w:sz w:val="15"/>
                                <w:szCs w:val="15"/>
                              </w:rPr>
                              <w:t>（</w:t>
                            </w:r>
                            <w:r w:rsidRPr="00FF2576">
                              <w:rPr>
                                <w:rFonts w:hint="eastAsia"/>
                                <w:spacing w:val="-20"/>
                                <w:sz w:val="15"/>
                                <w:szCs w:val="15"/>
                              </w:rPr>
                              <w:t>单位：人</w:t>
                            </w:r>
                            <w:r>
                              <w:rPr>
                                <w:rFonts w:hint="eastAsia"/>
                                <w:spacing w:val="-20"/>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7pt;margin-top:239.25pt;width:4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" stroked="f">
                <v:textbox>
                  <w:txbxContent>
                    <w:p w:rsidR="00FA43A9" w:rsidRPr="00FF2576" w:rsidRDefault="00FA43A9" w:rsidP="00FA43A9">
                      <w:pPr>
                        <w:spacing w:line="240" w:lineRule="exact"/>
                        <w:jc w:val="left"/>
                        <w:rPr>
                          <w:spacing w:val="-20"/>
                          <w:sz w:val="15"/>
                          <w:szCs w:val="15"/>
                        </w:rPr>
                      </w:pPr>
                      <w:r>
                        <w:rPr>
                          <w:rFonts w:hint="eastAsia"/>
                          <w:spacing w:val="-20"/>
                          <w:sz w:val="15"/>
                          <w:szCs w:val="15"/>
                        </w:rPr>
                        <w:t>（</w:t>
                      </w:r>
                      <w:r w:rsidRPr="00FF2576">
                        <w:rPr>
                          <w:rFonts w:hint="eastAsia"/>
                          <w:spacing w:val="-20"/>
                          <w:sz w:val="15"/>
                          <w:szCs w:val="15"/>
                        </w:rPr>
                        <w:t>单位：人</w:t>
                      </w:r>
                      <w:r>
                        <w:rPr>
                          <w:rFonts w:hint="eastAsia"/>
                          <w:spacing w:val="-20"/>
                          <w:sz w:val="15"/>
                          <w:szCs w:val="15"/>
                        </w:rPr>
                        <w:t>）</w:t>
                      </w:r>
                    </w:p>
                  </w:txbxContent>
                </v:textbox>
              </v:shape>
            </w:pict>
          </mc:Fallback>
        </mc:AlternateContent>
      </w:r>
      <w:r>
        <w:rPr>
          <w:rFonts w:ascii="仿宋" w:eastAsia="仿宋" w:hAnsi="仿宋"/>
          <w:noProof/>
          <w:sz w:val="32"/>
          <w:szCs w:val="32"/>
        </w:rPr>
        <w:drawing>
          <wp:inline distT="0" distB="0" distL="0" distR="0" wp14:anchorId="24980E80" wp14:editId="78711558">
            <wp:extent cx="5124450" cy="33528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43A9" w:rsidRDefault="00FA43A9" w:rsidP="00FA43A9">
      <w:pPr>
        <w:ind w:firstLineChars="300" w:firstLine="632"/>
        <w:jc w:val="center"/>
        <w:rPr>
          <w:rFonts w:asciiTheme="minorEastAsia" w:hAnsiTheme="minorEastAsia"/>
          <w:b/>
          <w:bCs/>
          <w:szCs w:val="21"/>
        </w:rPr>
      </w:pPr>
      <w:r>
        <w:rPr>
          <w:rFonts w:asciiTheme="minorEastAsia" w:hAnsiTheme="minorEastAsia" w:hint="eastAsia"/>
          <w:b/>
          <w:szCs w:val="21"/>
        </w:rPr>
        <w:t xml:space="preserve">  图4   </w:t>
      </w:r>
      <w:r w:rsidRPr="00DC6A0B">
        <w:rPr>
          <w:rFonts w:asciiTheme="minorEastAsia" w:hAnsiTheme="minorEastAsia" w:hint="eastAsia"/>
          <w:b/>
          <w:szCs w:val="21"/>
        </w:rPr>
        <w:t>2014—2016年</w:t>
      </w:r>
      <w:r w:rsidRPr="00DC6A0B">
        <w:rPr>
          <w:rFonts w:asciiTheme="minorEastAsia" w:hAnsiTheme="minorEastAsia" w:hint="eastAsia"/>
          <w:b/>
          <w:bCs/>
          <w:szCs w:val="21"/>
        </w:rPr>
        <w:t>吉林省</w:t>
      </w:r>
      <w:r w:rsidR="00DE558C">
        <w:rPr>
          <w:rFonts w:asciiTheme="minorEastAsia" w:hAnsiTheme="minorEastAsia" w:hint="eastAsia"/>
          <w:b/>
          <w:bCs/>
          <w:szCs w:val="21"/>
        </w:rPr>
        <w:t>五</w:t>
      </w:r>
      <w:r w:rsidRPr="00DC6A0B">
        <w:rPr>
          <w:rFonts w:asciiTheme="minorEastAsia" w:hAnsiTheme="minorEastAsia" w:hint="eastAsia"/>
          <w:b/>
          <w:bCs/>
          <w:szCs w:val="21"/>
        </w:rPr>
        <w:t>家铁路法院</w:t>
      </w:r>
      <w:r>
        <w:rPr>
          <w:rFonts w:asciiTheme="minorEastAsia" w:hAnsiTheme="minorEastAsia" w:hint="eastAsia"/>
          <w:b/>
          <w:bCs/>
          <w:szCs w:val="21"/>
        </w:rPr>
        <w:t>适用简易程序审理案件量刑情况</w:t>
      </w:r>
    </w:p>
    <w:p w:rsidR="00FA43A9" w:rsidRPr="0013784F" w:rsidRDefault="00FA43A9" w:rsidP="00FA43A9">
      <w:pPr>
        <w:ind w:firstLineChars="300" w:firstLine="964"/>
        <w:jc w:val="center"/>
        <w:rPr>
          <w:rFonts w:ascii="楷体" w:eastAsia="楷体" w:hAnsi="楷体"/>
          <w:b/>
          <w:sz w:val="32"/>
          <w:szCs w:val="32"/>
        </w:rPr>
      </w:pPr>
    </w:p>
    <w:p w:rsidR="00691EC5" w:rsidRDefault="00FA43A9">
      <w:pPr>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3</w:t>
      </w:r>
      <w:r w:rsidR="004D736E">
        <w:rPr>
          <w:rFonts w:ascii="仿宋" w:eastAsia="仿宋" w:hAnsi="仿宋" w:cs="仿宋" w:hint="eastAsia"/>
          <w:b/>
          <w:sz w:val="32"/>
          <w:szCs w:val="32"/>
        </w:rPr>
        <w:t>.平均审理天数</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新《刑事诉讼法》第二百一十</w:t>
      </w:r>
      <w:r w:rsidR="0099579A">
        <w:rPr>
          <w:rFonts w:ascii="仿宋" w:eastAsia="仿宋" w:hAnsi="仿宋" w:hint="eastAsia"/>
          <w:sz w:val="32"/>
          <w:szCs w:val="32"/>
        </w:rPr>
        <w:t>四</w:t>
      </w:r>
      <w:r>
        <w:rPr>
          <w:rFonts w:ascii="仿宋" w:eastAsia="仿宋" w:hAnsi="仿宋" w:hint="eastAsia"/>
          <w:sz w:val="32"/>
          <w:szCs w:val="32"/>
        </w:rPr>
        <w:t>条对简易程序的相关期限作了规定，</w:t>
      </w:r>
      <w:r w:rsidR="00D96E13">
        <w:rPr>
          <w:rFonts w:ascii="仿宋" w:eastAsia="仿宋" w:hAnsi="仿宋" w:hint="eastAsia"/>
          <w:sz w:val="32"/>
          <w:szCs w:val="32"/>
        </w:rPr>
        <w:t>最高法《关于适用&lt;中</w:t>
      </w:r>
      <w:r w:rsidR="0099579A">
        <w:rPr>
          <w:rFonts w:ascii="仿宋" w:eastAsia="仿宋" w:hAnsi="仿宋" w:hint="eastAsia"/>
          <w:sz w:val="32"/>
          <w:szCs w:val="32"/>
        </w:rPr>
        <w:t>华</w:t>
      </w:r>
      <w:r w:rsidR="00D96E13">
        <w:rPr>
          <w:rFonts w:ascii="仿宋" w:eastAsia="仿宋" w:hAnsi="仿宋" w:hint="eastAsia"/>
          <w:sz w:val="32"/>
          <w:szCs w:val="32"/>
        </w:rPr>
        <w:t>人民共和国刑事诉讼法&gt;的解释》</w:t>
      </w:r>
      <w:r w:rsidR="003B7942">
        <w:rPr>
          <w:rFonts w:ascii="仿宋" w:eastAsia="仿宋" w:hAnsi="仿宋" w:hint="eastAsia"/>
          <w:sz w:val="32"/>
          <w:szCs w:val="32"/>
        </w:rPr>
        <w:t>（后文称《</w:t>
      </w:r>
      <w:r w:rsidR="003F6F77">
        <w:rPr>
          <w:rFonts w:ascii="仿宋" w:eastAsia="仿宋" w:hAnsi="仿宋" w:hint="eastAsia"/>
          <w:sz w:val="32"/>
          <w:szCs w:val="32"/>
        </w:rPr>
        <w:t>最高</w:t>
      </w:r>
      <w:r w:rsidR="003B7942">
        <w:rPr>
          <w:rFonts w:ascii="仿宋" w:eastAsia="仿宋" w:hAnsi="仿宋" w:hint="eastAsia"/>
          <w:sz w:val="32"/>
          <w:szCs w:val="32"/>
        </w:rPr>
        <w:t>法解释》）</w:t>
      </w:r>
      <w:r>
        <w:rPr>
          <w:rFonts w:ascii="仿宋" w:eastAsia="仿宋" w:hAnsi="仿宋" w:hint="eastAsia"/>
          <w:sz w:val="32"/>
          <w:szCs w:val="32"/>
        </w:rPr>
        <w:t>第二百九十五条细化了可以简化的内容，</w:t>
      </w:r>
      <w:r w:rsidR="00D96E13">
        <w:rPr>
          <w:rFonts w:ascii="仿宋" w:eastAsia="仿宋" w:hAnsi="仿宋" w:hint="eastAsia"/>
          <w:sz w:val="32"/>
          <w:szCs w:val="32"/>
        </w:rPr>
        <w:t>五</w:t>
      </w:r>
      <w:r>
        <w:rPr>
          <w:rFonts w:ascii="仿宋" w:eastAsia="仿宋" w:hAnsi="仿宋" w:hint="eastAsia"/>
          <w:sz w:val="32"/>
          <w:szCs w:val="32"/>
        </w:rPr>
        <w:t>家铁路法院适用简易程序审理的案件平均在7.1～13.15日期限内审结。审理期限的合理设置是刑事诉讼程序正当原则和效率原则的具体体现，它一方面增强了司法机关的“程序意识”，有利于避免案件大量积压、超期审判的现象;另一方面，当事人尤其是对认罪服判的被告人可以及时从复杂漫长的诉讼程序中脱离，早日接受教育改造，重返社会。</w:t>
      </w:r>
    </w:p>
    <w:p w:rsidR="00691EC5" w:rsidRPr="003B5FC2" w:rsidRDefault="00FA43A9">
      <w:pPr>
        <w:ind w:firstLineChars="200" w:firstLine="643"/>
        <w:rPr>
          <w:rFonts w:ascii="仿宋" w:eastAsia="仿宋" w:hAnsi="仿宋"/>
          <w:b/>
          <w:sz w:val="32"/>
          <w:szCs w:val="32"/>
        </w:rPr>
      </w:pPr>
      <w:r>
        <w:rPr>
          <w:rFonts w:ascii="仿宋" w:eastAsia="仿宋" w:hAnsi="仿宋" w:hint="eastAsia"/>
          <w:b/>
          <w:sz w:val="32"/>
          <w:szCs w:val="32"/>
        </w:rPr>
        <w:t>4</w:t>
      </w:r>
      <w:r w:rsidR="004D736E" w:rsidRPr="003B5FC2">
        <w:rPr>
          <w:rFonts w:ascii="仿宋" w:eastAsia="仿宋" w:hAnsi="仿宋" w:hint="eastAsia"/>
          <w:b/>
          <w:sz w:val="32"/>
          <w:szCs w:val="32"/>
        </w:rPr>
        <w:t>.适用简易程序当庭宣判率</w:t>
      </w:r>
    </w:p>
    <w:p w:rsidR="00691EC5" w:rsidRDefault="003F6F77">
      <w:pPr>
        <w:ind w:firstLineChars="200" w:firstLine="640"/>
        <w:rPr>
          <w:rFonts w:ascii="仿宋" w:eastAsia="仿宋" w:hAnsi="仿宋"/>
          <w:sz w:val="32"/>
          <w:szCs w:val="32"/>
        </w:rPr>
      </w:pPr>
      <w:r>
        <w:rPr>
          <w:rFonts w:ascii="仿宋" w:eastAsia="仿宋" w:hAnsi="仿宋" w:hint="eastAsia"/>
          <w:sz w:val="32"/>
          <w:szCs w:val="32"/>
        </w:rPr>
        <w:t>《最高法解释》</w:t>
      </w:r>
      <w:r w:rsidR="004D736E">
        <w:rPr>
          <w:rFonts w:ascii="仿宋" w:eastAsia="仿宋" w:hAnsi="仿宋" w:hint="eastAsia"/>
          <w:sz w:val="32"/>
          <w:szCs w:val="32"/>
        </w:rPr>
        <w:t>第二百九十七条规定，适用简易程序审理案件，一般应当当庭宣判。此条解释实际上确立了我国刑事简易程序案件宣判以当庭宣判为主，延期宣判为辅的原则，且延期</w:t>
      </w:r>
      <w:proofErr w:type="gramStart"/>
      <w:r w:rsidR="004D736E">
        <w:rPr>
          <w:rFonts w:ascii="仿宋" w:eastAsia="仿宋" w:hAnsi="仿宋" w:hint="eastAsia"/>
          <w:sz w:val="32"/>
          <w:szCs w:val="32"/>
        </w:rPr>
        <w:t>宣判仅</w:t>
      </w:r>
      <w:proofErr w:type="gramEnd"/>
      <w:r w:rsidR="004D736E">
        <w:rPr>
          <w:rFonts w:ascii="仿宋" w:eastAsia="仿宋" w:hAnsi="仿宋" w:hint="eastAsia"/>
          <w:sz w:val="32"/>
          <w:szCs w:val="32"/>
        </w:rPr>
        <w:t>在特殊情况下和有正当理由时适用。</w:t>
      </w:r>
      <w:r w:rsidR="00D96E13">
        <w:rPr>
          <w:rFonts w:ascii="仿宋" w:eastAsia="仿宋" w:hAnsi="仿宋" w:hint="eastAsia"/>
          <w:sz w:val="32"/>
          <w:szCs w:val="32"/>
        </w:rPr>
        <w:t>五</w:t>
      </w:r>
      <w:r w:rsidR="004D736E">
        <w:rPr>
          <w:rFonts w:ascii="仿宋" w:eastAsia="仿宋" w:hAnsi="仿宋" w:hint="eastAsia"/>
          <w:sz w:val="32"/>
          <w:szCs w:val="32"/>
        </w:rPr>
        <w:t>家铁路法院适用简易程序审理的刑事案件当庭宣判率均保持在100 %，</w:t>
      </w:r>
      <w:proofErr w:type="gramStart"/>
      <w:r w:rsidR="004D736E">
        <w:rPr>
          <w:rFonts w:ascii="仿宋" w:eastAsia="仿宋" w:hAnsi="仿宋" w:hint="eastAsia"/>
          <w:sz w:val="32"/>
          <w:szCs w:val="32"/>
        </w:rPr>
        <w:t>照比以前</w:t>
      </w:r>
      <w:proofErr w:type="gramEnd"/>
      <w:r w:rsidR="004D736E">
        <w:rPr>
          <w:rFonts w:ascii="仿宋" w:eastAsia="仿宋" w:hAnsi="仿宋" w:hint="eastAsia"/>
          <w:sz w:val="32"/>
          <w:szCs w:val="32"/>
        </w:rPr>
        <w:t>当庭宣判率</w:t>
      </w:r>
      <w:r w:rsidR="00D96E13">
        <w:rPr>
          <w:rFonts w:ascii="仿宋" w:eastAsia="仿宋" w:hAnsi="仿宋" w:hint="eastAsia"/>
          <w:sz w:val="32"/>
          <w:szCs w:val="32"/>
        </w:rPr>
        <w:t>提高置顶</w:t>
      </w:r>
      <w:r w:rsidR="004D736E">
        <w:rPr>
          <w:rFonts w:ascii="仿宋" w:eastAsia="仿宋" w:hAnsi="仿宋" w:hint="eastAsia"/>
          <w:sz w:val="32"/>
          <w:szCs w:val="32"/>
        </w:rPr>
        <w:t>，反映了法院审理案件效率的提高，基本体现了刑事简易程序的价值所在，从另一侧面也说明法官对案件事实认定和法律适用水平有所提高，不再依赖于择期宣判。</w:t>
      </w:r>
    </w:p>
    <w:p w:rsidR="00691EC5" w:rsidRDefault="00FA43A9">
      <w:pPr>
        <w:ind w:firstLineChars="200" w:firstLine="643"/>
        <w:rPr>
          <w:rFonts w:ascii="仿宋" w:eastAsia="仿宋" w:hAnsi="仿宋"/>
          <w:b/>
          <w:sz w:val="32"/>
          <w:szCs w:val="32"/>
        </w:rPr>
      </w:pPr>
      <w:r>
        <w:rPr>
          <w:rFonts w:ascii="仿宋" w:eastAsia="仿宋" w:hAnsi="仿宋" w:hint="eastAsia"/>
          <w:b/>
          <w:sz w:val="32"/>
          <w:szCs w:val="32"/>
        </w:rPr>
        <w:t>5</w:t>
      </w:r>
      <w:r w:rsidR="004D736E">
        <w:rPr>
          <w:rFonts w:ascii="仿宋" w:eastAsia="仿宋" w:hAnsi="仿宋" w:hint="eastAsia"/>
          <w:b/>
          <w:sz w:val="32"/>
          <w:szCs w:val="32"/>
        </w:rPr>
        <w:t>.息诉服判率</w:t>
      </w:r>
    </w:p>
    <w:p w:rsidR="00691EC5" w:rsidRDefault="00D96E13">
      <w:pPr>
        <w:ind w:firstLine="660"/>
        <w:rPr>
          <w:rFonts w:ascii="仿宋" w:eastAsia="仿宋" w:hAnsi="仿宋"/>
          <w:sz w:val="32"/>
          <w:szCs w:val="32"/>
        </w:rPr>
      </w:pPr>
      <w:r>
        <w:rPr>
          <w:rFonts w:ascii="仿宋" w:eastAsia="仿宋" w:hAnsi="仿宋" w:hint="eastAsia"/>
          <w:sz w:val="32"/>
          <w:szCs w:val="32"/>
        </w:rPr>
        <w:t>五</w:t>
      </w:r>
      <w:r w:rsidR="004D736E">
        <w:rPr>
          <w:rFonts w:ascii="仿宋" w:eastAsia="仿宋" w:hAnsi="仿宋" w:hint="eastAsia"/>
          <w:sz w:val="32"/>
          <w:szCs w:val="32"/>
        </w:rPr>
        <w:t>家铁路法院适用简易程序审理的刑事案件息诉服判率均保持在100%，因简易程序的适用前提为案件事实清楚，证据确</w:t>
      </w:r>
      <w:r w:rsidR="004D736E">
        <w:rPr>
          <w:rFonts w:ascii="仿宋" w:eastAsia="仿宋" w:hAnsi="仿宋" w:hint="eastAsia"/>
          <w:sz w:val="32"/>
          <w:szCs w:val="32"/>
        </w:rPr>
        <w:lastRenderedPageBreak/>
        <w:t>实充分，被告人自愿认罪，因此被告人对判决结果几乎都能接受，没有上诉的情况。</w:t>
      </w:r>
    </w:p>
    <w:p w:rsidR="00691EC5" w:rsidRDefault="00691EC5">
      <w:pPr>
        <w:rPr>
          <w:rFonts w:ascii="楷体" w:eastAsia="楷体" w:hAnsi="楷体"/>
          <w:b/>
          <w:sz w:val="15"/>
          <w:szCs w:val="15"/>
        </w:rPr>
      </w:pPr>
    </w:p>
    <w:tbl>
      <w:tblPr>
        <w:tblStyle w:val="a8"/>
        <w:tblW w:w="8671" w:type="dxa"/>
        <w:tblLayout w:type="fixed"/>
        <w:tblLook w:val="04A0" w:firstRow="1" w:lastRow="0" w:firstColumn="1" w:lastColumn="0" w:noHBand="0" w:noVBand="1"/>
      </w:tblPr>
      <w:tblGrid>
        <w:gridCol w:w="2806"/>
        <w:gridCol w:w="837"/>
        <w:gridCol w:w="838"/>
        <w:gridCol w:w="838"/>
        <w:gridCol w:w="1676"/>
        <w:gridCol w:w="1676"/>
      </w:tblGrid>
      <w:tr w:rsidR="00691EC5">
        <w:trPr>
          <w:trHeight w:val="450"/>
        </w:trPr>
        <w:tc>
          <w:tcPr>
            <w:tcW w:w="2806" w:type="dxa"/>
            <w:vMerge w:val="restart"/>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法  院</w:t>
            </w:r>
          </w:p>
        </w:tc>
        <w:tc>
          <w:tcPr>
            <w:tcW w:w="2513" w:type="dxa"/>
            <w:gridSpan w:val="3"/>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平均审理天数（天）</w:t>
            </w:r>
          </w:p>
        </w:tc>
        <w:tc>
          <w:tcPr>
            <w:tcW w:w="1676" w:type="dxa"/>
            <w:vMerge w:val="restart"/>
            <w:tcBorders>
              <w:top w:val="single" w:sz="12" w:space="0" w:color="auto"/>
              <w:left w:val="single" w:sz="12" w:space="0" w:color="auto"/>
              <w:right w:val="single" w:sz="12" w:space="0" w:color="auto"/>
            </w:tcBorders>
            <w:vAlign w:val="center"/>
          </w:tcPr>
          <w:p w:rsidR="00691EC5" w:rsidRDefault="004D736E">
            <w:pPr>
              <w:spacing w:line="360" w:lineRule="exact"/>
              <w:jc w:val="center"/>
              <w:rPr>
                <w:rFonts w:ascii="仿宋" w:eastAsia="仿宋" w:hAnsi="仿宋"/>
                <w:sz w:val="28"/>
                <w:szCs w:val="28"/>
              </w:rPr>
            </w:pPr>
            <w:r>
              <w:rPr>
                <w:rFonts w:ascii="仿宋" w:eastAsia="仿宋" w:hAnsi="仿宋" w:hint="eastAsia"/>
                <w:sz w:val="28"/>
                <w:szCs w:val="28"/>
              </w:rPr>
              <w:t>当庭</w:t>
            </w:r>
          </w:p>
          <w:p w:rsidR="00691EC5" w:rsidRDefault="004D736E">
            <w:pPr>
              <w:spacing w:line="360" w:lineRule="exact"/>
              <w:jc w:val="center"/>
              <w:rPr>
                <w:rFonts w:ascii="仿宋" w:eastAsia="仿宋" w:hAnsi="仿宋"/>
                <w:sz w:val="28"/>
                <w:szCs w:val="28"/>
              </w:rPr>
            </w:pPr>
            <w:r>
              <w:rPr>
                <w:rFonts w:ascii="仿宋" w:eastAsia="仿宋" w:hAnsi="仿宋" w:hint="eastAsia"/>
                <w:sz w:val="28"/>
                <w:szCs w:val="28"/>
              </w:rPr>
              <w:t>宣判率</w:t>
            </w:r>
          </w:p>
        </w:tc>
        <w:tc>
          <w:tcPr>
            <w:tcW w:w="1676" w:type="dxa"/>
            <w:vMerge w:val="restart"/>
            <w:tcBorders>
              <w:top w:val="single" w:sz="12" w:space="0" w:color="auto"/>
              <w:left w:val="single" w:sz="12" w:space="0" w:color="auto"/>
              <w:right w:val="single" w:sz="12" w:space="0" w:color="auto"/>
            </w:tcBorders>
            <w:vAlign w:val="center"/>
          </w:tcPr>
          <w:p w:rsidR="00691EC5" w:rsidRDefault="004D736E">
            <w:pPr>
              <w:spacing w:line="360" w:lineRule="exact"/>
              <w:jc w:val="center"/>
              <w:rPr>
                <w:rFonts w:ascii="仿宋" w:eastAsia="仿宋" w:hAnsi="仿宋"/>
                <w:sz w:val="28"/>
                <w:szCs w:val="28"/>
              </w:rPr>
            </w:pPr>
            <w:r>
              <w:rPr>
                <w:rFonts w:ascii="仿宋" w:eastAsia="仿宋" w:hAnsi="仿宋" w:hint="eastAsia"/>
                <w:sz w:val="28"/>
                <w:szCs w:val="28"/>
              </w:rPr>
              <w:t>息诉</w:t>
            </w:r>
          </w:p>
          <w:p w:rsidR="00691EC5" w:rsidRDefault="004D736E">
            <w:pPr>
              <w:spacing w:line="360" w:lineRule="exact"/>
              <w:jc w:val="center"/>
              <w:rPr>
                <w:rFonts w:ascii="仿宋" w:eastAsia="仿宋" w:hAnsi="仿宋"/>
                <w:sz w:val="28"/>
                <w:szCs w:val="28"/>
              </w:rPr>
            </w:pPr>
            <w:r>
              <w:rPr>
                <w:rFonts w:ascii="仿宋" w:eastAsia="仿宋" w:hAnsi="仿宋" w:hint="eastAsia"/>
                <w:sz w:val="28"/>
                <w:szCs w:val="28"/>
              </w:rPr>
              <w:t>服判率</w:t>
            </w:r>
          </w:p>
        </w:tc>
      </w:tr>
      <w:tr w:rsidR="00691EC5">
        <w:trPr>
          <w:trHeight w:val="270"/>
        </w:trPr>
        <w:tc>
          <w:tcPr>
            <w:tcW w:w="2806" w:type="dxa"/>
            <w:vMerge/>
            <w:tcBorders>
              <w:left w:val="single" w:sz="12" w:space="0" w:color="auto"/>
              <w:bottom w:val="single" w:sz="12" w:space="0" w:color="auto"/>
              <w:right w:val="single" w:sz="12" w:space="0" w:color="auto"/>
            </w:tcBorders>
            <w:vAlign w:val="center"/>
          </w:tcPr>
          <w:p w:rsidR="00691EC5" w:rsidRDefault="00691EC5">
            <w:pPr>
              <w:spacing w:line="400" w:lineRule="exact"/>
              <w:jc w:val="center"/>
              <w:rPr>
                <w:rFonts w:ascii="仿宋" w:eastAsia="仿宋" w:hAnsi="仿宋"/>
                <w:sz w:val="28"/>
                <w:szCs w:val="28"/>
              </w:rPr>
            </w:pPr>
          </w:p>
        </w:tc>
        <w:tc>
          <w:tcPr>
            <w:tcW w:w="837" w:type="dxa"/>
            <w:tcBorders>
              <w:left w:val="single" w:sz="12" w:space="0" w:color="auto"/>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2014</w:t>
            </w:r>
          </w:p>
        </w:tc>
        <w:tc>
          <w:tcPr>
            <w:tcW w:w="838" w:type="dxa"/>
            <w:tcBorders>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2015</w:t>
            </w:r>
          </w:p>
        </w:tc>
        <w:tc>
          <w:tcPr>
            <w:tcW w:w="838" w:type="dxa"/>
            <w:tcBorders>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2016</w:t>
            </w:r>
          </w:p>
        </w:tc>
        <w:tc>
          <w:tcPr>
            <w:tcW w:w="1676" w:type="dxa"/>
            <w:vMerge/>
            <w:tcBorders>
              <w:left w:val="single" w:sz="12" w:space="0" w:color="auto"/>
              <w:bottom w:val="single" w:sz="12" w:space="0" w:color="auto"/>
              <w:right w:val="single" w:sz="12" w:space="0" w:color="auto"/>
            </w:tcBorders>
            <w:vAlign w:val="center"/>
          </w:tcPr>
          <w:p w:rsidR="00691EC5" w:rsidRDefault="00691EC5">
            <w:pPr>
              <w:spacing w:line="360" w:lineRule="exact"/>
              <w:jc w:val="center"/>
              <w:rPr>
                <w:rFonts w:ascii="仿宋" w:eastAsia="仿宋" w:hAnsi="仿宋"/>
                <w:sz w:val="28"/>
                <w:szCs w:val="28"/>
              </w:rPr>
            </w:pPr>
          </w:p>
        </w:tc>
        <w:tc>
          <w:tcPr>
            <w:tcW w:w="1676" w:type="dxa"/>
            <w:vMerge/>
            <w:tcBorders>
              <w:left w:val="single" w:sz="12" w:space="0" w:color="auto"/>
              <w:bottom w:val="single" w:sz="12" w:space="0" w:color="auto"/>
              <w:right w:val="single" w:sz="12" w:space="0" w:color="auto"/>
            </w:tcBorders>
            <w:vAlign w:val="center"/>
          </w:tcPr>
          <w:p w:rsidR="00691EC5" w:rsidRDefault="00691EC5">
            <w:pPr>
              <w:spacing w:line="360" w:lineRule="exact"/>
              <w:jc w:val="center"/>
              <w:rPr>
                <w:rFonts w:ascii="仿宋" w:eastAsia="仿宋" w:hAnsi="仿宋"/>
                <w:sz w:val="28"/>
                <w:szCs w:val="28"/>
              </w:rPr>
            </w:pPr>
          </w:p>
        </w:tc>
      </w:tr>
      <w:tr w:rsidR="00691EC5">
        <w:tc>
          <w:tcPr>
            <w:tcW w:w="2806" w:type="dxa"/>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长春铁路运输法院</w:t>
            </w:r>
          </w:p>
        </w:tc>
        <w:tc>
          <w:tcPr>
            <w:tcW w:w="837" w:type="dxa"/>
            <w:tcBorders>
              <w:top w:val="single" w:sz="12" w:space="0" w:color="auto"/>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10.34</w:t>
            </w:r>
          </w:p>
        </w:tc>
        <w:tc>
          <w:tcPr>
            <w:tcW w:w="838" w:type="dxa"/>
            <w:tcBorders>
              <w:top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10.75</w:t>
            </w:r>
          </w:p>
        </w:tc>
        <w:tc>
          <w:tcPr>
            <w:tcW w:w="838" w:type="dxa"/>
            <w:tcBorders>
              <w:top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7.9</w:t>
            </w:r>
          </w:p>
        </w:tc>
        <w:tc>
          <w:tcPr>
            <w:tcW w:w="1676" w:type="dxa"/>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c>
          <w:tcPr>
            <w:tcW w:w="1676" w:type="dxa"/>
            <w:tcBorders>
              <w:top w:val="single" w:sz="12" w:space="0" w:color="auto"/>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r>
      <w:tr w:rsidR="00691EC5">
        <w:tc>
          <w:tcPr>
            <w:tcW w:w="280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吉林铁路运输法院</w:t>
            </w:r>
          </w:p>
        </w:tc>
        <w:tc>
          <w:tcPr>
            <w:tcW w:w="8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8.5</w:t>
            </w:r>
          </w:p>
        </w:tc>
        <w:tc>
          <w:tcPr>
            <w:tcW w:w="838"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6.9</w:t>
            </w:r>
          </w:p>
        </w:tc>
        <w:tc>
          <w:tcPr>
            <w:tcW w:w="838"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5.9</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r>
      <w:tr w:rsidR="00691EC5">
        <w:tc>
          <w:tcPr>
            <w:tcW w:w="280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通化铁路运输法院</w:t>
            </w:r>
          </w:p>
        </w:tc>
        <w:tc>
          <w:tcPr>
            <w:tcW w:w="8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8.88</w:t>
            </w:r>
          </w:p>
        </w:tc>
        <w:tc>
          <w:tcPr>
            <w:tcW w:w="838"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9.05</w:t>
            </w:r>
          </w:p>
        </w:tc>
        <w:tc>
          <w:tcPr>
            <w:tcW w:w="838"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10.43</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r>
      <w:tr w:rsidR="00691EC5">
        <w:tc>
          <w:tcPr>
            <w:tcW w:w="280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图们铁路运输法院</w:t>
            </w:r>
          </w:p>
        </w:tc>
        <w:tc>
          <w:tcPr>
            <w:tcW w:w="837" w:type="dxa"/>
            <w:tcBorders>
              <w:lef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15.2</w:t>
            </w:r>
          </w:p>
        </w:tc>
        <w:tc>
          <w:tcPr>
            <w:tcW w:w="838" w:type="dxa"/>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15</w:t>
            </w:r>
          </w:p>
        </w:tc>
        <w:tc>
          <w:tcPr>
            <w:tcW w:w="838" w:type="dxa"/>
            <w:tcBorders>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9.25</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c>
          <w:tcPr>
            <w:tcW w:w="1676" w:type="dxa"/>
            <w:tcBorders>
              <w:left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r>
      <w:tr w:rsidR="00691EC5">
        <w:tc>
          <w:tcPr>
            <w:tcW w:w="2806" w:type="dxa"/>
            <w:tcBorders>
              <w:left w:val="single" w:sz="12" w:space="0" w:color="auto"/>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8"/>
                <w:szCs w:val="28"/>
              </w:rPr>
            </w:pPr>
            <w:r>
              <w:rPr>
                <w:rFonts w:ascii="仿宋" w:eastAsia="仿宋" w:hAnsi="仿宋" w:hint="eastAsia"/>
                <w:sz w:val="28"/>
                <w:szCs w:val="28"/>
              </w:rPr>
              <w:t>白城铁路运输法院</w:t>
            </w:r>
          </w:p>
        </w:tc>
        <w:tc>
          <w:tcPr>
            <w:tcW w:w="837" w:type="dxa"/>
            <w:tcBorders>
              <w:left w:val="single" w:sz="12" w:space="0" w:color="auto"/>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11</w:t>
            </w:r>
          </w:p>
        </w:tc>
        <w:tc>
          <w:tcPr>
            <w:tcW w:w="838" w:type="dxa"/>
            <w:tcBorders>
              <w:bottom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13.4</w:t>
            </w:r>
          </w:p>
        </w:tc>
        <w:tc>
          <w:tcPr>
            <w:tcW w:w="838" w:type="dxa"/>
            <w:tcBorders>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13.4</w:t>
            </w:r>
          </w:p>
        </w:tc>
        <w:tc>
          <w:tcPr>
            <w:tcW w:w="1676" w:type="dxa"/>
            <w:tcBorders>
              <w:left w:val="single" w:sz="12" w:space="0" w:color="auto"/>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c>
          <w:tcPr>
            <w:tcW w:w="1676" w:type="dxa"/>
            <w:tcBorders>
              <w:left w:val="single" w:sz="12" w:space="0" w:color="auto"/>
              <w:bottom w:val="single" w:sz="12" w:space="0" w:color="auto"/>
              <w:right w:val="single" w:sz="12" w:space="0" w:color="auto"/>
            </w:tcBorders>
            <w:vAlign w:val="center"/>
          </w:tcPr>
          <w:p w:rsidR="00691EC5" w:rsidRDefault="004D736E">
            <w:pPr>
              <w:spacing w:line="400" w:lineRule="exact"/>
              <w:jc w:val="center"/>
              <w:rPr>
                <w:rFonts w:ascii="仿宋" w:eastAsia="仿宋" w:hAnsi="仿宋"/>
                <w:sz w:val="24"/>
                <w:szCs w:val="24"/>
              </w:rPr>
            </w:pPr>
            <w:r>
              <w:rPr>
                <w:rFonts w:ascii="仿宋" w:eastAsia="仿宋" w:hAnsi="仿宋" w:hint="eastAsia"/>
                <w:sz w:val="24"/>
                <w:szCs w:val="24"/>
              </w:rPr>
              <w:t>100%</w:t>
            </w:r>
          </w:p>
        </w:tc>
      </w:tr>
    </w:tbl>
    <w:p w:rsidR="00691EC5" w:rsidRDefault="00036FC7">
      <w:pPr>
        <w:jc w:val="center"/>
        <w:rPr>
          <w:rFonts w:ascii="楷体" w:eastAsia="楷体" w:hAnsi="楷体"/>
          <w:b/>
          <w:sz w:val="32"/>
          <w:szCs w:val="32"/>
        </w:rPr>
      </w:pPr>
      <w:r>
        <w:rPr>
          <w:rFonts w:asciiTheme="minorEastAsia" w:hAnsiTheme="minorEastAsia" w:hint="eastAsia"/>
          <w:b/>
          <w:szCs w:val="21"/>
        </w:rPr>
        <w:t xml:space="preserve"> </w:t>
      </w:r>
      <w:r w:rsidR="004D736E">
        <w:rPr>
          <w:rFonts w:asciiTheme="minorEastAsia" w:hAnsiTheme="minorEastAsia" w:hint="eastAsia"/>
          <w:b/>
          <w:szCs w:val="21"/>
        </w:rPr>
        <w:t>图</w:t>
      </w:r>
      <w:r w:rsidR="00FA43A9">
        <w:rPr>
          <w:rFonts w:asciiTheme="minorEastAsia" w:hAnsiTheme="minorEastAsia" w:hint="eastAsia"/>
          <w:b/>
          <w:szCs w:val="21"/>
        </w:rPr>
        <w:t>5</w:t>
      </w:r>
      <w:r w:rsidR="004D736E">
        <w:rPr>
          <w:rFonts w:asciiTheme="minorEastAsia" w:hAnsiTheme="minorEastAsia" w:hint="eastAsia"/>
          <w:b/>
          <w:szCs w:val="21"/>
        </w:rPr>
        <w:t xml:space="preserve">   2014—2016年</w:t>
      </w:r>
      <w:r w:rsidR="004D736E">
        <w:rPr>
          <w:rFonts w:asciiTheme="minorEastAsia" w:hAnsiTheme="minorEastAsia" w:hint="eastAsia"/>
          <w:b/>
          <w:bCs/>
          <w:szCs w:val="21"/>
        </w:rPr>
        <w:t>吉林省</w:t>
      </w:r>
      <w:r w:rsidR="00DE558C">
        <w:rPr>
          <w:rFonts w:asciiTheme="minorEastAsia" w:hAnsiTheme="minorEastAsia" w:hint="eastAsia"/>
          <w:b/>
          <w:bCs/>
          <w:szCs w:val="21"/>
        </w:rPr>
        <w:t>五</w:t>
      </w:r>
      <w:r w:rsidR="004D736E">
        <w:rPr>
          <w:rFonts w:asciiTheme="minorEastAsia" w:hAnsiTheme="minorEastAsia" w:hint="eastAsia"/>
          <w:b/>
          <w:bCs/>
          <w:szCs w:val="21"/>
        </w:rPr>
        <w:t>家铁路法院适用简易程序审限及当庭宣判情况</w:t>
      </w:r>
    </w:p>
    <w:p w:rsidR="00036FC7" w:rsidRDefault="00036FC7">
      <w:pPr>
        <w:rPr>
          <w:rFonts w:ascii="楷体" w:eastAsia="楷体" w:hAnsi="楷体"/>
          <w:b/>
          <w:sz w:val="32"/>
          <w:szCs w:val="32"/>
        </w:rPr>
      </w:pPr>
    </w:p>
    <w:p w:rsidR="00691EC5" w:rsidRDefault="004D736E" w:rsidP="00036FC7">
      <w:pPr>
        <w:ind w:firstLineChars="200" w:firstLine="643"/>
        <w:rPr>
          <w:rFonts w:ascii="楷体" w:eastAsia="楷体" w:hAnsi="楷体"/>
          <w:b/>
          <w:sz w:val="32"/>
          <w:szCs w:val="32"/>
        </w:rPr>
      </w:pPr>
      <w:r>
        <w:rPr>
          <w:rFonts w:ascii="楷体" w:eastAsia="楷体" w:hAnsi="楷体" w:hint="eastAsia"/>
          <w:b/>
          <w:sz w:val="32"/>
          <w:szCs w:val="32"/>
        </w:rPr>
        <w:t>（七）简易程序转化为普通程序的情况分析</w:t>
      </w:r>
    </w:p>
    <w:p w:rsidR="00691EC5" w:rsidRDefault="004D736E">
      <w:pPr>
        <w:ind w:firstLineChars="200" w:firstLine="643"/>
        <w:rPr>
          <w:rFonts w:ascii="仿宋" w:eastAsia="仿宋" w:hAnsi="仿宋"/>
          <w:b/>
          <w:sz w:val="32"/>
          <w:szCs w:val="32"/>
        </w:rPr>
      </w:pPr>
      <w:r>
        <w:rPr>
          <w:rFonts w:ascii="仿宋" w:eastAsia="仿宋" w:hAnsi="仿宋" w:hint="eastAsia"/>
          <w:b/>
          <w:sz w:val="32"/>
          <w:szCs w:val="32"/>
        </w:rPr>
        <w:t>1. 简易程序转化为普通程序的占比率</w:t>
      </w:r>
    </w:p>
    <w:p w:rsidR="00DE558C" w:rsidRDefault="004D736E" w:rsidP="00DE558C">
      <w:pPr>
        <w:ind w:firstLineChars="200" w:firstLine="640"/>
        <w:rPr>
          <w:rFonts w:ascii="仿宋" w:eastAsia="仿宋" w:hAnsi="仿宋"/>
          <w:sz w:val="32"/>
          <w:szCs w:val="32"/>
        </w:rPr>
      </w:pPr>
      <w:r>
        <w:rPr>
          <w:rFonts w:ascii="仿宋" w:eastAsia="仿宋" w:hAnsi="仿宋" w:hint="eastAsia"/>
          <w:sz w:val="32"/>
          <w:szCs w:val="32"/>
        </w:rPr>
        <w:t>《最高法解释》第二百九十八条对简易程序转换为普通程序的情形做了明确规定，这是因为简易程序的适用是有前提的，只有符合法定条件的案件才可以适用，我们要自觉避免刑事审判中“效率至上、兼顾公正”的不良倾向，树立“公正优先、兼顾效率”的理念，对于适用简易程序审理中发现的有违该制度宗旨的情形时，要及时转换为普通程序审理，加强对案件事实的调查，防止冤假错案，保护当事人的合法权益。2014</w:t>
      </w:r>
      <w:r w:rsidR="00D96E13">
        <w:rPr>
          <w:rFonts w:ascii="仿宋" w:eastAsia="仿宋" w:hAnsi="仿宋" w:hint="eastAsia"/>
          <w:sz w:val="32"/>
          <w:szCs w:val="32"/>
        </w:rPr>
        <w:t>年至</w:t>
      </w:r>
      <w:r>
        <w:rPr>
          <w:rFonts w:ascii="仿宋" w:eastAsia="仿宋" w:hAnsi="仿宋" w:hint="eastAsia"/>
          <w:sz w:val="32"/>
          <w:szCs w:val="32"/>
        </w:rPr>
        <w:t>2016年吉林省</w:t>
      </w:r>
      <w:r w:rsidR="00D96E13">
        <w:rPr>
          <w:rFonts w:ascii="仿宋" w:eastAsia="仿宋" w:hAnsi="仿宋" w:hint="eastAsia"/>
          <w:sz w:val="32"/>
          <w:szCs w:val="32"/>
        </w:rPr>
        <w:t>五</w:t>
      </w:r>
      <w:r>
        <w:rPr>
          <w:rFonts w:ascii="仿宋" w:eastAsia="仿宋" w:hAnsi="仿宋" w:hint="eastAsia"/>
          <w:sz w:val="32"/>
          <w:szCs w:val="32"/>
        </w:rPr>
        <w:t>家铁路法院适用简易程序的案件共计229件，转为普通程序审理的为15件，占简易程序案件数量总数的6.55%（具体见图</w:t>
      </w:r>
      <w:r w:rsidR="00D96E13">
        <w:rPr>
          <w:rFonts w:ascii="仿宋" w:eastAsia="仿宋" w:hAnsi="仿宋" w:hint="eastAsia"/>
          <w:sz w:val="32"/>
          <w:szCs w:val="32"/>
        </w:rPr>
        <w:t>6</w:t>
      </w:r>
      <w:r>
        <w:rPr>
          <w:rFonts w:ascii="仿宋" w:eastAsia="仿宋" w:hAnsi="仿宋" w:hint="eastAsia"/>
          <w:sz w:val="32"/>
          <w:szCs w:val="32"/>
        </w:rPr>
        <w:t>）。可见，检察机关在建议适用和法院决定适用简易程序是严格建立在案件事实清楚、证据确实充分，被</w:t>
      </w:r>
      <w:r>
        <w:rPr>
          <w:rFonts w:ascii="仿宋" w:eastAsia="仿宋" w:hAnsi="仿宋" w:hint="eastAsia"/>
          <w:sz w:val="32"/>
          <w:szCs w:val="32"/>
        </w:rPr>
        <w:lastRenderedPageBreak/>
        <w:t>告人认罪和同意适用简易程序基础上的，避免了庭审过程中因出现不符合适用条件的情况而转为普通程序增加实际审理期限，浪费司法资源，损害诉讼效率的现象。</w:t>
      </w:r>
    </w:p>
    <w:tbl>
      <w:tblPr>
        <w:tblStyle w:val="a8"/>
        <w:tblW w:w="8221" w:type="dxa"/>
        <w:tblInd w:w="392" w:type="dxa"/>
        <w:tblLayout w:type="fixed"/>
        <w:tblLook w:val="04A0" w:firstRow="1" w:lastRow="0" w:firstColumn="1" w:lastColumn="0" w:noHBand="0" w:noVBand="1"/>
      </w:tblPr>
      <w:tblGrid>
        <w:gridCol w:w="2410"/>
        <w:gridCol w:w="2126"/>
        <w:gridCol w:w="2551"/>
        <w:gridCol w:w="1134"/>
      </w:tblGrid>
      <w:tr w:rsidR="00DE558C" w:rsidTr="00DE558C">
        <w:tc>
          <w:tcPr>
            <w:tcW w:w="2410" w:type="dxa"/>
            <w:tcBorders>
              <w:top w:val="single" w:sz="12" w:space="0" w:color="auto"/>
              <w:left w:val="single" w:sz="12" w:space="0" w:color="auto"/>
              <w:right w:val="single" w:sz="12" w:space="0" w:color="auto"/>
            </w:tcBorders>
            <w:vAlign w:val="center"/>
          </w:tcPr>
          <w:p w:rsidR="00DE558C" w:rsidRDefault="00DE558C" w:rsidP="00EB24D6">
            <w:pPr>
              <w:jc w:val="center"/>
              <w:rPr>
                <w:rFonts w:ascii="仿宋" w:eastAsia="仿宋" w:hAnsi="仿宋"/>
                <w:sz w:val="28"/>
                <w:szCs w:val="28"/>
              </w:rPr>
            </w:pPr>
            <w:r>
              <w:rPr>
                <w:rFonts w:ascii="仿宋" w:eastAsia="仿宋" w:hAnsi="仿宋" w:hint="eastAsia"/>
                <w:sz w:val="28"/>
                <w:szCs w:val="28"/>
              </w:rPr>
              <w:t>法院</w:t>
            </w:r>
          </w:p>
        </w:tc>
        <w:tc>
          <w:tcPr>
            <w:tcW w:w="2126" w:type="dxa"/>
            <w:tcBorders>
              <w:top w:val="single" w:sz="12" w:space="0" w:color="auto"/>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8"/>
                <w:szCs w:val="28"/>
              </w:rPr>
            </w:pPr>
            <w:r>
              <w:rPr>
                <w:rFonts w:ascii="仿宋" w:eastAsia="仿宋" w:hAnsi="仿宋" w:hint="eastAsia"/>
                <w:sz w:val="28"/>
                <w:szCs w:val="28"/>
              </w:rPr>
              <w:t>简易程序案件</w:t>
            </w:r>
          </w:p>
        </w:tc>
        <w:tc>
          <w:tcPr>
            <w:tcW w:w="2551" w:type="dxa"/>
            <w:tcBorders>
              <w:top w:val="single" w:sz="12" w:space="0" w:color="auto"/>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8"/>
                <w:szCs w:val="28"/>
              </w:rPr>
            </w:pPr>
            <w:r>
              <w:rPr>
                <w:rFonts w:ascii="仿宋" w:eastAsia="仿宋" w:hAnsi="仿宋" w:hint="eastAsia"/>
                <w:sz w:val="28"/>
                <w:szCs w:val="28"/>
              </w:rPr>
              <w:t>转为普通程序案件</w:t>
            </w:r>
          </w:p>
        </w:tc>
        <w:tc>
          <w:tcPr>
            <w:tcW w:w="1134" w:type="dxa"/>
            <w:tcBorders>
              <w:top w:val="single" w:sz="12" w:space="0" w:color="auto"/>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8"/>
                <w:szCs w:val="28"/>
              </w:rPr>
            </w:pPr>
            <w:proofErr w:type="gramStart"/>
            <w:r>
              <w:rPr>
                <w:rFonts w:ascii="仿宋" w:eastAsia="仿宋" w:hAnsi="仿宋" w:hint="eastAsia"/>
                <w:sz w:val="28"/>
                <w:szCs w:val="28"/>
              </w:rPr>
              <w:t>转普率</w:t>
            </w:r>
            <w:proofErr w:type="gramEnd"/>
          </w:p>
        </w:tc>
      </w:tr>
      <w:tr w:rsidR="00DE558C" w:rsidTr="00DE558C">
        <w:tc>
          <w:tcPr>
            <w:tcW w:w="2410"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长春铁路运输法院</w:t>
            </w:r>
          </w:p>
        </w:tc>
        <w:tc>
          <w:tcPr>
            <w:tcW w:w="2126" w:type="dxa"/>
            <w:tcBorders>
              <w:top w:val="single" w:sz="12" w:space="0" w:color="auto"/>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54</w:t>
            </w:r>
          </w:p>
        </w:tc>
        <w:tc>
          <w:tcPr>
            <w:tcW w:w="2551" w:type="dxa"/>
            <w:tcBorders>
              <w:top w:val="single" w:sz="12" w:space="0" w:color="auto"/>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14</w:t>
            </w:r>
          </w:p>
        </w:tc>
        <w:tc>
          <w:tcPr>
            <w:tcW w:w="1134" w:type="dxa"/>
            <w:tcBorders>
              <w:top w:val="single" w:sz="12" w:space="0" w:color="auto"/>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25.93%</w:t>
            </w:r>
          </w:p>
        </w:tc>
      </w:tr>
      <w:tr w:rsidR="00DE558C" w:rsidTr="00DE558C">
        <w:tc>
          <w:tcPr>
            <w:tcW w:w="2410"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吉林铁路运输法院</w:t>
            </w:r>
          </w:p>
        </w:tc>
        <w:tc>
          <w:tcPr>
            <w:tcW w:w="2126"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88</w:t>
            </w:r>
          </w:p>
        </w:tc>
        <w:tc>
          <w:tcPr>
            <w:tcW w:w="2551"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c>
          <w:tcPr>
            <w:tcW w:w="1134"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r>
      <w:tr w:rsidR="00DE558C" w:rsidTr="00DE558C">
        <w:tc>
          <w:tcPr>
            <w:tcW w:w="2410"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通化铁路运输法院</w:t>
            </w:r>
          </w:p>
        </w:tc>
        <w:tc>
          <w:tcPr>
            <w:tcW w:w="2126"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43</w:t>
            </w:r>
          </w:p>
        </w:tc>
        <w:tc>
          <w:tcPr>
            <w:tcW w:w="2551"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c>
          <w:tcPr>
            <w:tcW w:w="1134"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r>
      <w:tr w:rsidR="00DE558C" w:rsidTr="00DE558C">
        <w:tc>
          <w:tcPr>
            <w:tcW w:w="2410"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图们铁路运输法院</w:t>
            </w:r>
          </w:p>
        </w:tc>
        <w:tc>
          <w:tcPr>
            <w:tcW w:w="2126"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11</w:t>
            </w:r>
          </w:p>
        </w:tc>
        <w:tc>
          <w:tcPr>
            <w:tcW w:w="2551"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1</w:t>
            </w:r>
          </w:p>
        </w:tc>
        <w:tc>
          <w:tcPr>
            <w:tcW w:w="1134" w:type="dxa"/>
            <w:tcBorders>
              <w:left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9.09%</w:t>
            </w:r>
          </w:p>
        </w:tc>
      </w:tr>
      <w:tr w:rsidR="00DE558C" w:rsidTr="00DE558C">
        <w:tc>
          <w:tcPr>
            <w:tcW w:w="2410" w:type="dxa"/>
            <w:tcBorders>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白城铁路运输法院</w:t>
            </w:r>
          </w:p>
        </w:tc>
        <w:tc>
          <w:tcPr>
            <w:tcW w:w="2126" w:type="dxa"/>
            <w:tcBorders>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33</w:t>
            </w:r>
          </w:p>
        </w:tc>
        <w:tc>
          <w:tcPr>
            <w:tcW w:w="2551" w:type="dxa"/>
            <w:tcBorders>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c>
          <w:tcPr>
            <w:tcW w:w="1134" w:type="dxa"/>
            <w:tcBorders>
              <w:left w:val="single" w:sz="12" w:space="0" w:color="auto"/>
              <w:bottom w:val="single" w:sz="12" w:space="0" w:color="auto"/>
              <w:right w:val="single" w:sz="12" w:space="0" w:color="auto"/>
            </w:tcBorders>
            <w:vAlign w:val="center"/>
          </w:tcPr>
          <w:p w:rsidR="00DE558C" w:rsidRDefault="00DE558C" w:rsidP="00EB24D6">
            <w:pPr>
              <w:jc w:val="center"/>
              <w:rPr>
                <w:rFonts w:ascii="仿宋" w:eastAsia="仿宋" w:hAnsi="仿宋"/>
                <w:sz w:val="24"/>
                <w:szCs w:val="24"/>
              </w:rPr>
            </w:pPr>
            <w:r>
              <w:rPr>
                <w:rFonts w:ascii="仿宋" w:eastAsia="仿宋" w:hAnsi="仿宋" w:hint="eastAsia"/>
                <w:sz w:val="24"/>
                <w:szCs w:val="24"/>
              </w:rPr>
              <w:t>0</w:t>
            </w:r>
          </w:p>
        </w:tc>
      </w:tr>
    </w:tbl>
    <w:p w:rsidR="00691EC5" w:rsidRDefault="004D736E" w:rsidP="00036FC7">
      <w:pPr>
        <w:rPr>
          <w:rFonts w:asciiTheme="minorEastAsia" w:hAnsiTheme="minorEastAsia"/>
          <w:b/>
          <w:bCs/>
          <w:szCs w:val="21"/>
        </w:rPr>
      </w:pPr>
      <w:r>
        <w:rPr>
          <w:rFonts w:asciiTheme="minorEastAsia" w:hAnsiTheme="minorEastAsia" w:hint="eastAsia"/>
          <w:b/>
          <w:szCs w:val="21"/>
        </w:rPr>
        <w:t xml:space="preserve">       </w:t>
      </w:r>
      <w:r w:rsidR="00036FC7">
        <w:rPr>
          <w:rFonts w:asciiTheme="minorEastAsia" w:hAnsiTheme="minorEastAsia" w:hint="eastAsia"/>
          <w:b/>
          <w:szCs w:val="21"/>
        </w:rPr>
        <w:t xml:space="preserve"> </w:t>
      </w:r>
      <w:r w:rsidR="00DE558C">
        <w:rPr>
          <w:rFonts w:asciiTheme="minorEastAsia" w:hAnsiTheme="minorEastAsia" w:hint="eastAsia"/>
          <w:b/>
          <w:szCs w:val="21"/>
        </w:rPr>
        <w:t xml:space="preserve">  </w:t>
      </w:r>
      <w:r>
        <w:rPr>
          <w:rFonts w:asciiTheme="minorEastAsia" w:hAnsiTheme="minorEastAsia" w:hint="eastAsia"/>
          <w:b/>
          <w:szCs w:val="21"/>
        </w:rPr>
        <w:t>图</w:t>
      </w:r>
      <w:r w:rsidR="00FA43A9">
        <w:rPr>
          <w:rFonts w:asciiTheme="minorEastAsia" w:hAnsiTheme="minorEastAsia" w:hint="eastAsia"/>
          <w:b/>
          <w:szCs w:val="21"/>
        </w:rPr>
        <w:t>6</w:t>
      </w:r>
      <w:r>
        <w:rPr>
          <w:rFonts w:asciiTheme="minorEastAsia" w:hAnsiTheme="minorEastAsia" w:hint="eastAsia"/>
          <w:b/>
          <w:szCs w:val="21"/>
        </w:rPr>
        <w:t xml:space="preserve">  2014—2016年</w:t>
      </w:r>
      <w:r>
        <w:rPr>
          <w:rFonts w:asciiTheme="minorEastAsia" w:hAnsiTheme="minorEastAsia" w:hint="eastAsia"/>
          <w:b/>
          <w:bCs/>
          <w:szCs w:val="21"/>
        </w:rPr>
        <w:t>吉林省</w:t>
      </w:r>
      <w:r w:rsidR="00DE558C">
        <w:rPr>
          <w:rFonts w:asciiTheme="minorEastAsia" w:hAnsiTheme="minorEastAsia" w:hint="eastAsia"/>
          <w:b/>
          <w:bCs/>
          <w:szCs w:val="21"/>
        </w:rPr>
        <w:t>五</w:t>
      </w:r>
      <w:r>
        <w:rPr>
          <w:rFonts w:asciiTheme="minorEastAsia" w:hAnsiTheme="minorEastAsia" w:hint="eastAsia"/>
          <w:b/>
          <w:bCs/>
          <w:szCs w:val="21"/>
        </w:rPr>
        <w:t>家铁路法院简易程序转为普通程序的情况</w:t>
      </w:r>
    </w:p>
    <w:p w:rsidR="003B5FC2" w:rsidRPr="00036FC7" w:rsidRDefault="003B5FC2">
      <w:pPr>
        <w:rPr>
          <w:rFonts w:ascii="仿宋" w:eastAsia="仿宋" w:hAnsi="仿宋"/>
          <w:szCs w:val="21"/>
        </w:rPr>
      </w:pPr>
    </w:p>
    <w:p w:rsidR="00691EC5" w:rsidRDefault="004D736E">
      <w:pPr>
        <w:ind w:firstLineChars="200" w:firstLine="643"/>
        <w:rPr>
          <w:rFonts w:ascii="仿宋" w:eastAsia="仿宋" w:hAnsi="仿宋"/>
          <w:b/>
          <w:sz w:val="32"/>
          <w:szCs w:val="32"/>
        </w:rPr>
      </w:pPr>
      <w:r>
        <w:rPr>
          <w:rFonts w:ascii="仿宋" w:eastAsia="仿宋" w:hAnsi="仿宋" w:hint="eastAsia"/>
          <w:b/>
          <w:sz w:val="32"/>
          <w:szCs w:val="32"/>
        </w:rPr>
        <w:t>2. 简易程序转化为普通程序的具体情形</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在司法实践当中，由简易程序转化为普通程序的情形分为以下几种情况：一是被告人在庭审中突然翻供作无罪抗辩； 二是被告人及辩护人对指控的主要犯罪事实、主要犯罪证据提出质疑，包括有罪证据的证据能力和证据的证明力； 三是辩方出示被告人无罪的突袭证据，检察机关</w:t>
      </w:r>
      <w:r w:rsidR="00D96E13">
        <w:rPr>
          <w:rFonts w:ascii="仿宋" w:eastAsia="仿宋" w:hAnsi="仿宋" w:hint="eastAsia"/>
          <w:sz w:val="32"/>
          <w:szCs w:val="32"/>
        </w:rPr>
        <w:t>请求</w:t>
      </w:r>
      <w:r>
        <w:rPr>
          <w:rFonts w:ascii="仿宋" w:eastAsia="仿宋" w:hAnsi="仿宋" w:hint="eastAsia"/>
          <w:sz w:val="32"/>
          <w:szCs w:val="32"/>
        </w:rPr>
        <w:t>延期审理</w:t>
      </w:r>
      <w:r w:rsidR="00D96E13">
        <w:rPr>
          <w:rFonts w:ascii="仿宋" w:eastAsia="仿宋" w:hAnsi="仿宋" w:hint="eastAsia"/>
          <w:sz w:val="32"/>
          <w:szCs w:val="32"/>
        </w:rPr>
        <w:t>需要</w:t>
      </w:r>
      <w:r>
        <w:rPr>
          <w:rFonts w:ascii="仿宋" w:eastAsia="仿宋" w:hAnsi="仿宋" w:hint="eastAsia"/>
          <w:sz w:val="32"/>
          <w:szCs w:val="32"/>
        </w:rPr>
        <w:t>补充侦查等。总之，只要被告人在庭审上坚持拒不认罪的态度或明示发表无罪抗辩陈述意见的，法庭就应当及时合议裁定重新审理，由简易程序转换至一审普通程序，其程序规范与一审普通程序亦然。</w:t>
      </w:r>
    </w:p>
    <w:p w:rsidR="00691EC5" w:rsidRDefault="004D736E">
      <w:pPr>
        <w:ind w:firstLineChars="200" w:firstLine="643"/>
        <w:rPr>
          <w:rFonts w:ascii="仿宋" w:eastAsia="仿宋" w:hAnsi="仿宋"/>
          <w:b/>
          <w:sz w:val="32"/>
          <w:szCs w:val="32"/>
        </w:rPr>
      </w:pPr>
      <w:r>
        <w:rPr>
          <w:rFonts w:ascii="仿宋" w:eastAsia="仿宋" w:hAnsi="仿宋" w:hint="eastAsia"/>
          <w:b/>
          <w:sz w:val="32"/>
          <w:szCs w:val="32"/>
        </w:rPr>
        <w:t>3. 简易程序转化为普通程序的操作规程</w:t>
      </w:r>
    </w:p>
    <w:p w:rsidR="00691EC5" w:rsidRDefault="003F6F77">
      <w:pPr>
        <w:ind w:firstLineChars="200" w:firstLine="640"/>
        <w:rPr>
          <w:rFonts w:ascii="仿宋" w:eastAsia="仿宋" w:hAnsi="仿宋" w:cs="仿宋"/>
          <w:color w:val="000000" w:themeColor="text1"/>
          <w:sz w:val="32"/>
          <w:szCs w:val="32"/>
        </w:rPr>
      </w:pPr>
      <w:r>
        <w:rPr>
          <w:rFonts w:ascii="仿宋" w:eastAsia="仿宋" w:hAnsi="仿宋" w:hint="eastAsia"/>
          <w:sz w:val="32"/>
          <w:szCs w:val="32"/>
        </w:rPr>
        <w:t>《最高法解释》</w:t>
      </w:r>
      <w:r w:rsidR="00D96E13" w:rsidRPr="003F6F77">
        <w:rPr>
          <w:rFonts w:ascii="仿宋" w:eastAsia="仿宋" w:hAnsi="仿宋" w:cs="仿宋" w:hint="eastAsia"/>
          <w:sz w:val="32"/>
          <w:szCs w:val="32"/>
        </w:rPr>
        <w:t>第二百九十八条</w:t>
      </w:r>
      <w:r w:rsidR="004D736E" w:rsidRPr="003F6F77">
        <w:rPr>
          <w:rFonts w:ascii="仿宋" w:eastAsia="仿宋" w:hAnsi="仿宋" w:cs="仿宋" w:hint="eastAsia"/>
          <w:sz w:val="32"/>
          <w:szCs w:val="32"/>
        </w:rPr>
        <w:t>规定</w:t>
      </w:r>
      <w:r w:rsidR="004D736E">
        <w:rPr>
          <w:rFonts w:ascii="仿宋" w:eastAsia="仿宋" w:hAnsi="仿宋" w:cs="仿宋" w:hint="eastAsia"/>
          <w:sz w:val="32"/>
          <w:szCs w:val="32"/>
        </w:rPr>
        <w:t>，当发现以下情况时，简易程序转化为普通程序对案件进行重新审理。即：</w:t>
      </w:r>
      <w:r w:rsidR="004D736E" w:rsidRPr="003F6F77">
        <w:rPr>
          <w:rFonts w:ascii="仿宋" w:eastAsia="仿宋" w:hAnsi="仿宋" w:cs="仿宋" w:hint="eastAsia"/>
          <w:color w:val="000000" w:themeColor="text1"/>
          <w:sz w:val="32"/>
          <w:szCs w:val="32"/>
          <w:shd w:val="clear" w:color="auto" w:fill="FFFFFF"/>
        </w:rPr>
        <w:t>(1)</w:t>
      </w:r>
      <w:r w:rsidRPr="003F6F77">
        <w:rPr>
          <w:rFonts w:ascii="仿宋" w:eastAsia="仿宋" w:hAnsi="仿宋"/>
          <w:color w:val="333333"/>
          <w:sz w:val="32"/>
          <w:szCs w:val="32"/>
        </w:rPr>
        <w:t xml:space="preserve"> 被告人的行为可能不构成犯罪的</w:t>
      </w:r>
      <w:r w:rsidR="004D736E" w:rsidRPr="003F6F77">
        <w:rPr>
          <w:rFonts w:ascii="仿宋" w:eastAsia="仿宋" w:hAnsi="仿宋" w:cs="仿宋" w:hint="eastAsia"/>
          <w:color w:val="000000" w:themeColor="text1"/>
          <w:sz w:val="32"/>
          <w:szCs w:val="32"/>
          <w:shd w:val="clear" w:color="auto" w:fill="FFFFFF"/>
        </w:rPr>
        <w:t>;(2)</w:t>
      </w:r>
      <w:r w:rsidRPr="003F6F77">
        <w:rPr>
          <w:rFonts w:ascii="仿宋" w:eastAsia="仿宋" w:hAnsi="仿宋"/>
          <w:color w:val="333333"/>
          <w:sz w:val="32"/>
          <w:szCs w:val="32"/>
        </w:rPr>
        <w:t>被告人可能不负刑事责任</w:t>
      </w:r>
      <w:r w:rsidRPr="003F6F77">
        <w:rPr>
          <w:rFonts w:ascii="仿宋" w:eastAsia="仿宋" w:hAnsi="仿宋"/>
          <w:color w:val="333333"/>
          <w:sz w:val="32"/>
          <w:szCs w:val="32"/>
        </w:rPr>
        <w:lastRenderedPageBreak/>
        <w:t>的</w:t>
      </w:r>
      <w:r w:rsidR="004D736E" w:rsidRPr="003F6F77">
        <w:rPr>
          <w:rFonts w:ascii="仿宋" w:eastAsia="仿宋" w:hAnsi="仿宋" w:cs="仿宋" w:hint="eastAsia"/>
          <w:color w:val="000000" w:themeColor="text1"/>
          <w:sz w:val="32"/>
          <w:szCs w:val="32"/>
          <w:shd w:val="clear" w:color="auto" w:fill="FFFFFF"/>
        </w:rPr>
        <w:t>;(3)</w:t>
      </w:r>
      <w:r w:rsidRPr="003F6F77">
        <w:rPr>
          <w:rFonts w:ascii="仿宋" w:eastAsia="仿宋" w:hAnsi="仿宋"/>
          <w:color w:val="333333"/>
          <w:sz w:val="32"/>
          <w:szCs w:val="32"/>
        </w:rPr>
        <w:t>被告人当庭对起诉指控的犯罪事实予以否认的</w:t>
      </w:r>
      <w:r w:rsidR="004D736E" w:rsidRPr="003F6F77">
        <w:rPr>
          <w:rFonts w:ascii="仿宋" w:eastAsia="仿宋" w:hAnsi="仿宋" w:cs="仿宋" w:hint="eastAsia"/>
          <w:color w:val="000000" w:themeColor="text1"/>
          <w:sz w:val="32"/>
          <w:szCs w:val="32"/>
          <w:shd w:val="clear" w:color="auto" w:fill="FFFFFF"/>
        </w:rPr>
        <w:t>;(4)</w:t>
      </w:r>
      <w:r w:rsidRPr="003F6F77">
        <w:rPr>
          <w:rFonts w:ascii="仿宋" w:eastAsia="仿宋" w:hAnsi="仿宋"/>
          <w:color w:val="333333"/>
          <w:sz w:val="32"/>
          <w:szCs w:val="32"/>
        </w:rPr>
        <w:t>案件事实不清、证据不足的</w:t>
      </w:r>
      <w:r w:rsidR="004D736E" w:rsidRPr="003F6F77">
        <w:rPr>
          <w:rFonts w:ascii="仿宋" w:eastAsia="仿宋" w:hAnsi="仿宋" w:cs="仿宋" w:hint="eastAsia"/>
          <w:color w:val="000000" w:themeColor="text1"/>
          <w:sz w:val="32"/>
          <w:szCs w:val="32"/>
          <w:shd w:val="clear" w:color="auto" w:fill="FFFFFF"/>
        </w:rPr>
        <w:t>;(5)</w:t>
      </w:r>
      <w:r w:rsidRPr="003F6F77">
        <w:rPr>
          <w:rFonts w:ascii="仿宋" w:eastAsia="仿宋" w:hAnsi="仿宋"/>
          <w:color w:val="333333"/>
          <w:sz w:val="32"/>
          <w:szCs w:val="32"/>
        </w:rPr>
        <w:t>不应当或者不宜适用简易程序的其他情形</w:t>
      </w:r>
      <w:r w:rsidR="004D736E" w:rsidRPr="003F6F77">
        <w:rPr>
          <w:rFonts w:ascii="仿宋" w:eastAsia="仿宋" w:hAnsi="仿宋" w:cs="仿宋" w:hint="eastAsia"/>
          <w:color w:val="000000" w:themeColor="text1"/>
          <w:sz w:val="32"/>
          <w:szCs w:val="32"/>
          <w:shd w:val="clear" w:color="auto" w:fill="FFFFFF"/>
        </w:rPr>
        <w:t>。</w:t>
      </w:r>
      <w:r w:rsidR="004D736E">
        <w:rPr>
          <w:rFonts w:ascii="仿宋" w:eastAsia="仿宋" w:hAnsi="仿宋" w:cs="仿宋" w:hint="eastAsia"/>
          <w:color w:val="000000" w:themeColor="text1"/>
          <w:sz w:val="32"/>
          <w:szCs w:val="32"/>
          <w:shd w:val="clear" w:color="auto" w:fill="FFFFFF"/>
        </w:rPr>
        <w:t>经过对</w:t>
      </w:r>
      <w:r w:rsidR="00D96E13">
        <w:rPr>
          <w:rFonts w:ascii="仿宋" w:eastAsia="仿宋" w:hAnsi="仿宋" w:cs="仿宋" w:hint="eastAsia"/>
          <w:color w:val="000000" w:themeColor="text1"/>
          <w:sz w:val="32"/>
          <w:szCs w:val="32"/>
          <w:shd w:val="clear" w:color="auto" w:fill="FFFFFF"/>
        </w:rPr>
        <w:t>五</w:t>
      </w:r>
      <w:r w:rsidR="004D736E">
        <w:rPr>
          <w:rFonts w:ascii="仿宋" w:eastAsia="仿宋" w:hAnsi="仿宋" w:cs="仿宋" w:hint="eastAsia"/>
          <w:color w:val="000000" w:themeColor="text1"/>
          <w:sz w:val="32"/>
          <w:szCs w:val="32"/>
          <w:shd w:val="clear" w:color="auto" w:fill="FFFFFF"/>
        </w:rPr>
        <w:t>家铁路法院进行调研，发现</w:t>
      </w:r>
      <w:r w:rsidR="00D96E13">
        <w:rPr>
          <w:rFonts w:ascii="仿宋" w:eastAsia="仿宋" w:hAnsi="仿宋" w:cs="仿宋" w:hint="eastAsia"/>
          <w:color w:val="000000" w:themeColor="text1"/>
          <w:sz w:val="32"/>
          <w:szCs w:val="32"/>
          <w:shd w:val="clear" w:color="auto" w:fill="FFFFFF"/>
        </w:rPr>
        <w:t>五</w:t>
      </w:r>
      <w:r w:rsidR="004D736E">
        <w:rPr>
          <w:rFonts w:ascii="仿宋" w:eastAsia="仿宋" w:hAnsi="仿宋" w:cs="仿宋" w:hint="eastAsia"/>
          <w:color w:val="000000" w:themeColor="text1"/>
          <w:sz w:val="32"/>
          <w:szCs w:val="32"/>
          <w:shd w:val="clear" w:color="auto" w:fill="FFFFFF"/>
        </w:rPr>
        <w:t>家铁路法院当遇到简易程序转化为普通程序的时候，</w:t>
      </w:r>
      <w:r w:rsidR="00D96E13">
        <w:rPr>
          <w:rFonts w:ascii="仿宋" w:eastAsia="仿宋" w:hAnsi="仿宋" w:cs="仿宋" w:hint="eastAsia"/>
          <w:color w:val="000000" w:themeColor="text1"/>
          <w:sz w:val="32"/>
          <w:szCs w:val="32"/>
          <w:shd w:val="clear" w:color="auto" w:fill="FFFFFF"/>
        </w:rPr>
        <w:t>五</w:t>
      </w:r>
      <w:r w:rsidR="004D736E">
        <w:rPr>
          <w:rFonts w:ascii="仿宋" w:eastAsia="仿宋" w:hAnsi="仿宋" w:cs="仿宋" w:hint="eastAsia"/>
          <w:color w:val="000000" w:themeColor="text1"/>
          <w:sz w:val="32"/>
          <w:szCs w:val="32"/>
          <w:shd w:val="clear" w:color="auto" w:fill="FFFFFF"/>
        </w:rPr>
        <w:t>家法院都是自行决定转化为普通程序，通知检察院。</w:t>
      </w:r>
    </w:p>
    <w:p w:rsidR="00691EC5" w:rsidRDefault="00691EC5">
      <w:pPr>
        <w:rPr>
          <w:rFonts w:ascii="仿宋" w:eastAsia="仿宋" w:hAnsi="仿宋"/>
          <w:b/>
          <w:sz w:val="32"/>
          <w:szCs w:val="32"/>
        </w:rPr>
      </w:pPr>
    </w:p>
    <w:p w:rsidR="00691EC5" w:rsidRPr="00DE558C" w:rsidRDefault="003B5FC2">
      <w:pPr>
        <w:rPr>
          <w:rFonts w:ascii="黑体" w:eastAsia="黑体" w:hAnsi="黑体"/>
          <w:spacing w:val="-20"/>
          <w:sz w:val="32"/>
          <w:szCs w:val="32"/>
        </w:rPr>
      </w:pPr>
      <w:r>
        <w:rPr>
          <w:rFonts w:ascii="黑体" w:eastAsia="黑体" w:hAnsi="黑体" w:hint="eastAsia"/>
          <w:sz w:val="32"/>
          <w:szCs w:val="32"/>
        </w:rPr>
        <w:t xml:space="preserve">    </w:t>
      </w:r>
      <w:r w:rsidR="004D736E">
        <w:rPr>
          <w:rFonts w:ascii="黑体" w:eastAsia="黑体" w:hAnsi="黑体"/>
          <w:sz w:val="32"/>
          <w:szCs w:val="32"/>
        </w:rPr>
        <w:t>四、</w:t>
      </w:r>
      <w:r w:rsidR="004D736E">
        <w:rPr>
          <w:rFonts w:ascii="黑体" w:eastAsia="黑体" w:hAnsi="黑体" w:hint="eastAsia"/>
          <w:sz w:val="32"/>
          <w:szCs w:val="32"/>
        </w:rPr>
        <w:t>吉林省铁路运输法院适用简易程序审理案件的</w:t>
      </w:r>
      <w:r w:rsidR="004D736E" w:rsidRPr="00DE558C">
        <w:rPr>
          <w:rFonts w:ascii="黑体" w:eastAsia="黑体" w:hAnsi="黑体" w:hint="eastAsia"/>
          <w:spacing w:val="-20"/>
          <w:sz w:val="32"/>
          <w:szCs w:val="32"/>
        </w:rPr>
        <w:t>亮点分析</w:t>
      </w:r>
    </w:p>
    <w:p w:rsidR="00691EC5" w:rsidRDefault="003B5FC2">
      <w:pPr>
        <w:ind w:firstLineChars="200" w:firstLine="643"/>
        <w:rPr>
          <w:rFonts w:ascii="楷体" w:eastAsia="楷体" w:hAnsi="楷体"/>
          <w:b/>
          <w:bCs/>
          <w:sz w:val="32"/>
          <w:szCs w:val="32"/>
        </w:rPr>
      </w:pPr>
      <w:r>
        <w:rPr>
          <w:rFonts w:ascii="楷体" w:eastAsia="楷体" w:hAnsi="楷体" w:hint="eastAsia"/>
          <w:b/>
          <w:bCs/>
          <w:sz w:val="32"/>
          <w:szCs w:val="32"/>
        </w:rPr>
        <w:t>(</w:t>
      </w:r>
      <w:proofErr w:type="gramStart"/>
      <w:r>
        <w:rPr>
          <w:rFonts w:ascii="楷体" w:eastAsia="楷体" w:hAnsi="楷体" w:hint="eastAsia"/>
          <w:b/>
          <w:bCs/>
          <w:sz w:val="32"/>
          <w:szCs w:val="32"/>
        </w:rPr>
        <w:t>一</w:t>
      </w:r>
      <w:proofErr w:type="gramEnd"/>
      <w:r>
        <w:rPr>
          <w:rFonts w:ascii="楷体" w:eastAsia="楷体" w:hAnsi="楷体" w:hint="eastAsia"/>
          <w:b/>
          <w:bCs/>
          <w:sz w:val="32"/>
          <w:szCs w:val="32"/>
        </w:rPr>
        <w:t>)</w:t>
      </w:r>
      <w:r w:rsidR="004D736E">
        <w:rPr>
          <w:rFonts w:ascii="楷体" w:eastAsia="楷体" w:hAnsi="楷体" w:hint="eastAsia"/>
          <w:b/>
          <w:bCs/>
          <w:sz w:val="32"/>
          <w:szCs w:val="32"/>
        </w:rPr>
        <w:t>审理期限短</w:t>
      </w:r>
    </w:p>
    <w:p w:rsidR="00691EC5" w:rsidRDefault="003B5FC2">
      <w:pPr>
        <w:ind w:firstLineChars="200" w:firstLine="640"/>
        <w:rPr>
          <w:rFonts w:ascii="仿宋" w:eastAsia="仿宋" w:hAnsi="仿宋"/>
          <w:sz w:val="32"/>
          <w:szCs w:val="32"/>
        </w:rPr>
      </w:pPr>
      <w:r>
        <w:rPr>
          <w:rFonts w:ascii="仿宋" w:eastAsia="仿宋" w:hAnsi="仿宋" w:cs="仿宋" w:hint="eastAsia"/>
          <w:sz w:val="32"/>
          <w:szCs w:val="32"/>
        </w:rPr>
        <w:t>通过图</w:t>
      </w:r>
      <w:r w:rsidR="00FA43A9">
        <w:rPr>
          <w:rFonts w:ascii="仿宋" w:eastAsia="仿宋" w:hAnsi="仿宋" w:cs="仿宋" w:hint="eastAsia"/>
          <w:sz w:val="32"/>
          <w:szCs w:val="32"/>
        </w:rPr>
        <w:t>5</w:t>
      </w:r>
      <w:r w:rsidR="004D736E">
        <w:rPr>
          <w:rFonts w:ascii="仿宋" w:eastAsia="仿宋" w:hAnsi="仿宋" w:cs="仿宋" w:hint="eastAsia"/>
          <w:sz w:val="32"/>
          <w:szCs w:val="32"/>
        </w:rPr>
        <w:t>数据分析中可以看出，</w:t>
      </w:r>
      <w:r w:rsidR="008C37B6">
        <w:rPr>
          <w:rFonts w:ascii="仿宋" w:eastAsia="仿宋" w:hAnsi="仿宋" w:cs="仿宋" w:hint="eastAsia"/>
          <w:sz w:val="32"/>
          <w:szCs w:val="32"/>
        </w:rPr>
        <w:t>五</w:t>
      </w:r>
      <w:r w:rsidR="004D736E">
        <w:rPr>
          <w:rFonts w:ascii="仿宋" w:eastAsia="仿宋" w:hAnsi="仿宋" w:cs="仿宋" w:hint="eastAsia"/>
          <w:sz w:val="32"/>
          <w:szCs w:val="32"/>
        </w:rPr>
        <w:t>家铁路法院适用简易程序审理刑事案件的审理期限为</w:t>
      </w:r>
      <w:r w:rsidR="004D736E">
        <w:rPr>
          <w:rFonts w:ascii="仿宋" w:eastAsia="仿宋" w:hAnsi="仿宋" w:hint="eastAsia"/>
          <w:sz w:val="32"/>
          <w:szCs w:val="32"/>
        </w:rPr>
        <w:t>7.1～13.15日，其中吉林铁路法院在2016年的适用简易程序审理案件的期限为5.9天。从这些数据得出这样的结论：吉林省</w:t>
      </w:r>
      <w:r w:rsidR="008C37B6">
        <w:rPr>
          <w:rFonts w:ascii="仿宋" w:eastAsia="仿宋" w:hAnsi="仿宋" w:hint="eastAsia"/>
          <w:sz w:val="32"/>
          <w:szCs w:val="32"/>
        </w:rPr>
        <w:t>五</w:t>
      </w:r>
      <w:r w:rsidR="004D736E">
        <w:rPr>
          <w:rFonts w:ascii="仿宋" w:eastAsia="仿宋" w:hAnsi="仿宋" w:hint="eastAsia"/>
          <w:sz w:val="32"/>
          <w:szCs w:val="32"/>
        </w:rPr>
        <w:t>家铁路运输法院适用简易程序审理案件的期限短，这在一定程度上缓解了司法资源紧张的矛盾，极大的解放了法院的人力、物力、财力，节省了司法资源，为法院进一步审理疑难案件提供了宝贵的审理时间。</w:t>
      </w:r>
    </w:p>
    <w:p w:rsidR="003B5FC2" w:rsidRDefault="003B5FC2">
      <w:pPr>
        <w:ind w:firstLineChars="200" w:firstLine="640"/>
        <w:rPr>
          <w:rFonts w:ascii="楷体" w:eastAsia="楷体" w:hAnsi="楷体"/>
          <w:sz w:val="32"/>
          <w:szCs w:val="32"/>
        </w:rPr>
      </w:pPr>
    </w:p>
    <w:p w:rsidR="00691EC5" w:rsidRDefault="003B5FC2">
      <w:pPr>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sidR="004D736E">
        <w:rPr>
          <w:rFonts w:ascii="楷体" w:eastAsia="楷体" w:hAnsi="楷体" w:cs="楷体" w:hint="eastAsia"/>
          <w:b/>
          <w:bCs/>
          <w:sz w:val="32"/>
          <w:szCs w:val="32"/>
        </w:rPr>
        <w:t>当庭宣判率高</w:t>
      </w:r>
    </w:p>
    <w:p w:rsidR="00691EC5" w:rsidRDefault="003B5FC2">
      <w:pPr>
        <w:ind w:firstLineChars="200" w:firstLine="640"/>
        <w:rPr>
          <w:rFonts w:ascii="仿宋" w:eastAsia="仿宋" w:hAnsi="仿宋" w:cs="仿宋"/>
          <w:sz w:val="32"/>
          <w:szCs w:val="32"/>
        </w:rPr>
      </w:pPr>
      <w:r>
        <w:rPr>
          <w:rFonts w:ascii="仿宋" w:eastAsia="仿宋" w:hAnsi="仿宋" w:cs="仿宋" w:hint="eastAsia"/>
          <w:sz w:val="32"/>
          <w:szCs w:val="32"/>
        </w:rPr>
        <w:t>通过图</w:t>
      </w:r>
      <w:r w:rsidR="00FA43A9">
        <w:rPr>
          <w:rFonts w:ascii="仿宋" w:eastAsia="仿宋" w:hAnsi="仿宋" w:cs="仿宋" w:hint="eastAsia"/>
          <w:sz w:val="32"/>
          <w:szCs w:val="32"/>
        </w:rPr>
        <w:t>5</w:t>
      </w:r>
      <w:r w:rsidR="004D736E">
        <w:rPr>
          <w:rFonts w:ascii="仿宋" w:eastAsia="仿宋" w:hAnsi="仿宋" w:cs="仿宋" w:hint="eastAsia"/>
          <w:sz w:val="32"/>
          <w:szCs w:val="32"/>
        </w:rPr>
        <w:t>数据可以看出，吉林省</w:t>
      </w:r>
      <w:r w:rsidR="008C37B6">
        <w:rPr>
          <w:rFonts w:ascii="仿宋" w:eastAsia="仿宋" w:hAnsi="仿宋" w:cs="仿宋" w:hint="eastAsia"/>
          <w:sz w:val="32"/>
          <w:szCs w:val="32"/>
        </w:rPr>
        <w:t>五</w:t>
      </w:r>
      <w:r w:rsidR="004D736E">
        <w:rPr>
          <w:rFonts w:ascii="仿宋" w:eastAsia="仿宋" w:hAnsi="仿宋" w:cs="仿宋" w:hint="eastAsia"/>
          <w:sz w:val="32"/>
          <w:szCs w:val="32"/>
        </w:rPr>
        <w:t>家铁路运输法院适用简易程序审理案件都是当庭宣判的，当庭宣判率均为100%。</w:t>
      </w:r>
      <w:r w:rsidR="008C37B6">
        <w:rPr>
          <w:rFonts w:ascii="仿宋" w:eastAsia="仿宋" w:hAnsi="仿宋" w:cs="仿宋" w:hint="eastAsia"/>
          <w:sz w:val="32"/>
          <w:szCs w:val="32"/>
        </w:rPr>
        <w:t>五</w:t>
      </w:r>
      <w:r w:rsidR="004D736E">
        <w:rPr>
          <w:rFonts w:ascii="仿宋" w:eastAsia="仿宋" w:hAnsi="仿宋" w:cs="仿宋" w:hint="eastAsia"/>
          <w:sz w:val="32"/>
          <w:szCs w:val="32"/>
        </w:rPr>
        <w:t>家铁路法院均很好的贯彻</w:t>
      </w:r>
      <w:r w:rsidR="003F6F77">
        <w:rPr>
          <w:rFonts w:ascii="仿宋" w:eastAsia="仿宋" w:hAnsi="仿宋" w:hint="eastAsia"/>
          <w:sz w:val="32"/>
          <w:szCs w:val="32"/>
        </w:rPr>
        <w:t>《最高法解释》</w:t>
      </w:r>
      <w:r w:rsidR="004D736E">
        <w:rPr>
          <w:rFonts w:ascii="仿宋" w:eastAsia="仿宋" w:hAnsi="仿宋" w:cs="仿宋" w:hint="eastAsia"/>
          <w:sz w:val="32"/>
          <w:szCs w:val="32"/>
        </w:rPr>
        <w:t>的精神。之所以当庭宣判率高，也是因为案情比较简单，犯罪事实清楚、证据充分、争议不大、被告人当庭认罪。有了以上必备的条件，法院在审</w:t>
      </w:r>
      <w:r w:rsidR="004D736E">
        <w:rPr>
          <w:rFonts w:ascii="仿宋" w:eastAsia="仿宋" w:hAnsi="仿宋" w:cs="仿宋" w:hint="eastAsia"/>
          <w:sz w:val="32"/>
          <w:szCs w:val="32"/>
        </w:rPr>
        <w:lastRenderedPageBreak/>
        <w:t>理过程中就履行一下程序的规定，对案件进行分析，得出结论，径而可以当庭宣判。当庭宣判也是在坚持公平公</w:t>
      </w:r>
      <w:r w:rsidR="008C37B6">
        <w:rPr>
          <w:rFonts w:ascii="仿宋" w:eastAsia="仿宋" w:hAnsi="仿宋" w:cs="仿宋" w:hint="eastAsia"/>
          <w:sz w:val="32"/>
          <w:szCs w:val="32"/>
        </w:rPr>
        <w:t>正</w:t>
      </w:r>
      <w:r w:rsidR="004D736E">
        <w:rPr>
          <w:rFonts w:ascii="仿宋" w:eastAsia="仿宋" w:hAnsi="仿宋" w:cs="仿宋" w:hint="eastAsia"/>
          <w:sz w:val="32"/>
          <w:szCs w:val="32"/>
        </w:rPr>
        <w:t>原则的前提下，兼顾效率高的原则。</w:t>
      </w:r>
    </w:p>
    <w:p w:rsidR="003B5FC2" w:rsidRDefault="003B5FC2">
      <w:pPr>
        <w:ind w:firstLineChars="200" w:firstLine="640"/>
        <w:rPr>
          <w:rFonts w:ascii="楷体" w:eastAsia="楷体" w:hAnsi="楷体"/>
          <w:sz w:val="32"/>
          <w:szCs w:val="32"/>
        </w:rPr>
      </w:pPr>
    </w:p>
    <w:p w:rsidR="00691EC5" w:rsidRDefault="003B5FC2">
      <w:pPr>
        <w:ind w:firstLineChars="200" w:firstLine="643"/>
        <w:rPr>
          <w:rFonts w:ascii="楷体" w:eastAsia="楷体" w:hAnsi="楷体"/>
          <w:b/>
          <w:bCs/>
          <w:sz w:val="32"/>
          <w:szCs w:val="32"/>
        </w:rPr>
      </w:pPr>
      <w:r>
        <w:rPr>
          <w:rFonts w:ascii="楷体" w:eastAsia="楷体" w:hAnsi="楷体" w:hint="eastAsia"/>
          <w:b/>
          <w:bCs/>
          <w:sz w:val="32"/>
          <w:szCs w:val="32"/>
        </w:rPr>
        <w:t>（三）</w:t>
      </w:r>
      <w:r w:rsidR="004D736E">
        <w:rPr>
          <w:rFonts w:ascii="楷体" w:eastAsia="楷体" w:hAnsi="楷体" w:hint="eastAsia"/>
          <w:b/>
          <w:bCs/>
          <w:sz w:val="32"/>
          <w:szCs w:val="32"/>
        </w:rPr>
        <w:t>息诉服判率高</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吉林省</w:t>
      </w:r>
      <w:r w:rsidR="008C37B6">
        <w:rPr>
          <w:rFonts w:ascii="仿宋" w:eastAsia="仿宋" w:hAnsi="仿宋" w:cs="仿宋" w:hint="eastAsia"/>
          <w:sz w:val="32"/>
          <w:szCs w:val="32"/>
        </w:rPr>
        <w:t>五</w:t>
      </w:r>
      <w:r>
        <w:rPr>
          <w:rFonts w:ascii="仿宋" w:eastAsia="仿宋" w:hAnsi="仿宋" w:cs="仿宋" w:hint="eastAsia"/>
          <w:sz w:val="32"/>
          <w:szCs w:val="32"/>
        </w:rPr>
        <w:t>家铁路法院均采取的是当庭宣判的方式，从实践的结果来看取得了很好的效果，被告人对当庭宣判的结果能够接受，均没有上诉，息诉服判率均达到100%。这也是吉林省</w:t>
      </w:r>
      <w:r w:rsidR="008C37B6">
        <w:rPr>
          <w:rFonts w:ascii="仿宋" w:eastAsia="仿宋" w:hAnsi="仿宋" w:cs="仿宋" w:hint="eastAsia"/>
          <w:sz w:val="32"/>
          <w:szCs w:val="32"/>
        </w:rPr>
        <w:t>五</w:t>
      </w:r>
      <w:r>
        <w:rPr>
          <w:rFonts w:ascii="仿宋" w:eastAsia="仿宋" w:hAnsi="仿宋" w:cs="仿宋" w:hint="eastAsia"/>
          <w:sz w:val="32"/>
          <w:szCs w:val="32"/>
        </w:rPr>
        <w:t>家铁路法院适用简易程序审理刑事案件的亮点所在。说明主审法官对案件“吃”的很透彻，</w:t>
      </w:r>
      <w:r w:rsidR="008C37B6">
        <w:rPr>
          <w:rFonts w:ascii="仿宋" w:eastAsia="仿宋" w:hAnsi="仿宋" w:cs="仿宋" w:hint="eastAsia"/>
          <w:sz w:val="32"/>
          <w:szCs w:val="32"/>
        </w:rPr>
        <w:t>认定案件事实清楚、证据确实充分、定性准确、量刑适当</w:t>
      </w:r>
      <w:r>
        <w:rPr>
          <w:rFonts w:ascii="仿宋" w:eastAsia="仿宋" w:hAnsi="仿宋" w:cs="仿宋" w:hint="eastAsia"/>
          <w:sz w:val="32"/>
          <w:szCs w:val="32"/>
        </w:rPr>
        <w:t>，庭审过程中也保障了被告人的各项权利，被告人自愿认罪，被告人对判决结果几乎都能接受。</w:t>
      </w:r>
    </w:p>
    <w:p w:rsidR="003B5FC2" w:rsidRDefault="003B5FC2">
      <w:pPr>
        <w:ind w:firstLineChars="200" w:firstLine="640"/>
        <w:rPr>
          <w:rFonts w:ascii="仿宋" w:eastAsia="仿宋" w:hAnsi="仿宋" w:cs="仿宋"/>
          <w:sz w:val="32"/>
          <w:szCs w:val="32"/>
        </w:rPr>
      </w:pPr>
    </w:p>
    <w:p w:rsidR="00691EC5" w:rsidRDefault="004D736E" w:rsidP="003B5FC2">
      <w:pPr>
        <w:ind w:firstLineChars="200" w:firstLine="640"/>
        <w:rPr>
          <w:rFonts w:ascii="黑体" w:eastAsia="黑体" w:hAnsi="黑体"/>
          <w:sz w:val="32"/>
          <w:szCs w:val="32"/>
        </w:rPr>
      </w:pPr>
      <w:r>
        <w:rPr>
          <w:rFonts w:ascii="黑体" w:eastAsia="黑体" w:hAnsi="黑体" w:hint="eastAsia"/>
          <w:sz w:val="32"/>
          <w:szCs w:val="32"/>
        </w:rPr>
        <w:t>五、吉林省铁路运输法院适用简易程序中存在的问题</w:t>
      </w: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（一）被告人程序选择权难以保障</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严格意义上说，被告人的程序选择权应当包括程序启动权、程序知情权、程序变更权。根据《刑事诉讼法》与相关司法解释，刑事简易程序的启动可以由人民检察院建议、人民法院</w:t>
      </w:r>
      <w:r w:rsidR="008C37B6">
        <w:rPr>
          <w:rFonts w:ascii="仿宋" w:eastAsia="仿宋" w:hAnsi="仿宋" w:hint="eastAsia"/>
          <w:sz w:val="32"/>
          <w:szCs w:val="32"/>
        </w:rPr>
        <w:t>征求</w:t>
      </w:r>
      <w:r>
        <w:rPr>
          <w:rFonts w:ascii="仿宋" w:eastAsia="仿宋" w:hAnsi="仿宋" w:hint="eastAsia"/>
          <w:sz w:val="32"/>
          <w:szCs w:val="32"/>
        </w:rPr>
        <w:t>建议、人民法院决定，并应当征求被告人、辩护人的意见。但实践中，在是否适用刑事简易程序这一问题上，基层法院、检察院保持了高度的“默契”。在程序选择上，法院对于检察院移送起诉的案件一般都以检察院建议为主，检察院建议适用</w:t>
      </w:r>
      <w:r>
        <w:rPr>
          <w:rFonts w:ascii="仿宋" w:eastAsia="仿宋" w:hAnsi="仿宋" w:hint="eastAsia"/>
          <w:sz w:val="32"/>
          <w:szCs w:val="32"/>
        </w:rPr>
        <w:lastRenderedPageBreak/>
        <w:t>简易程序的法院一般同意，反之</w:t>
      </w:r>
      <w:r w:rsidR="008C37B6">
        <w:rPr>
          <w:rFonts w:ascii="仿宋" w:eastAsia="仿宋" w:hAnsi="仿宋" w:hint="eastAsia"/>
          <w:sz w:val="32"/>
          <w:szCs w:val="32"/>
        </w:rPr>
        <w:t>转为</w:t>
      </w:r>
      <w:r>
        <w:rPr>
          <w:rFonts w:ascii="仿宋" w:eastAsia="仿宋" w:hAnsi="仿宋" w:hint="eastAsia"/>
          <w:sz w:val="32"/>
          <w:szCs w:val="32"/>
        </w:rPr>
        <w:t>普通程序；在基层法院中，当法院决定适用简易程序时，一般会在文书送达时告知被告人，但是没有给予被告人考虑时间。这种情况下，被告人行使仅仅是程序异议权，即被动地接受程序的权利，与程序启动权是迥然不同的。程序启动权是当被告人(及其辩护人)认为适用简易程序审理对自己更加有利时，可以主动地向检察官、法官提出适用简易程序的建议。而程序异议权仅指被告人在法官、检察官决定适用简易程序时，只能被动地表示异议。</w:t>
      </w:r>
    </w:p>
    <w:p w:rsidR="003B5FC2" w:rsidRDefault="003B5FC2">
      <w:pPr>
        <w:ind w:firstLineChars="200" w:firstLine="640"/>
        <w:rPr>
          <w:rFonts w:ascii="仿宋" w:eastAsia="仿宋" w:hAnsi="仿宋"/>
          <w:sz w:val="32"/>
          <w:szCs w:val="32"/>
        </w:rPr>
      </w:pPr>
    </w:p>
    <w:p w:rsidR="00691EC5" w:rsidRDefault="004D736E">
      <w:pPr>
        <w:ind w:firstLineChars="200" w:firstLine="643"/>
        <w:rPr>
          <w:rFonts w:ascii="楷体" w:eastAsia="楷体" w:hAnsi="楷体"/>
          <w:b/>
          <w:sz w:val="32"/>
          <w:szCs w:val="32"/>
        </w:rPr>
      </w:pPr>
      <w:r>
        <w:rPr>
          <w:rFonts w:ascii="楷体" w:eastAsia="楷体" w:hAnsi="楷体" w:hint="eastAsia"/>
          <w:b/>
          <w:sz w:val="32"/>
          <w:szCs w:val="32"/>
        </w:rPr>
        <w:t>(二)公诉人出庭形式化严重</w:t>
      </w:r>
    </w:p>
    <w:p w:rsidR="00691EC5" w:rsidRDefault="004D736E">
      <w:pPr>
        <w:ind w:firstLineChars="200" w:firstLine="640"/>
        <w:rPr>
          <w:rFonts w:ascii="仿宋" w:eastAsia="仿宋" w:hAnsi="仿宋"/>
          <w:sz w:val="32"/>
          <w:szCs w:val="32"/>
        </w:rPr>
      </w:pPr>
      <w:r>
        <w:rPr>
          <w:rFonts w:ascii="仿宋" w:eastAsia="仿宋" w:hAnsi="仿宋" w:hint="eastAsia"/>
          <w:sz w:val="32"/>
          <w:szCs w:val="32"/>
        </w:rPr>
        <w:t>2012 年《刑事诉讼法》中关于适用简易程序审理公诉案件“应当派员出庭”的规定，对检察机关来说，既是重要机遇，更是严峻挑战，它对公诉工作和人员素质都提出了新的更高的要求。适用简易程序所审理的公诉案件，公诉人历来并不出庭，被理论界与实务界所诟病，但如今修改为所有适用简易程序审理的公诉案件，公诉人均应当出庭。此做法从理论上</w:t>
      </w:r>
      <w:proofErr w:type="gramStart"/>
      <w:r>
        <w:rPr>
          <w:rFonts w:ascii="仿宋" w:eastAsia="仿宋" w:hAnsi="仿宋" w:hint="eastAsia"/>
          <w:sz w:val="32"/>
          <w:szCs w:val="32"/>
        </w:rPr>
        <w:t>讲虽然</w:t>
      </w:r>
      <w:proofErr w:type="gramEnd"/>
      <w:r>
        <w:rPr>
          <w:rFonts w:ascii="仿宋" w:eastAsia="仿宋" w:hAnsi="仿宋" w:hint="eastAsia"/>
          <w:sz w:val="32"/>
          <w:szCs w:val="32"/>
        </w:rPr>
        <w:t>可以强化控、辩、审的三方构造，有效地实现庭审的举证、质证、辩论等环节的完整性，亦能更好地</w:t>
      </w:r>
      <w:proofErr w:type="gramStart"/>
      <w:r>
        <w:rPr>
          <w:rFonts w:ascii="仿宋" w:eastAsia="仿宋" w:hAnsi="仿宋" w:hint="eastAsia"/>
          <w:sz w:val="32"/>
          <w:szCs w:val="32"/>
        </w:rPr>
        <w:t>践行</w:t>
      </w:r>
      <w:proofErr w:type="gramEnd"/>
      <w:r>
        <w:rPr>
          <w:rFonts w:ascii="仿宋" w:eastAsia="仿宋" w:hAnsi="仿宋" w:hint="eastAsia"/>
          <w:sz w:val="32"/>
          <w:szCs w:val="32"/>
        </w:rPr>
        <w:t>检察机关的法律监督职能，加强检察机关对庭审活动的法律监督，有效地实现质证、辩论。但是从实践来看，公诉人的出庭形式化较为严重。第一，从法官的角度来看，新刑诉法要求简易程序公诉人必须出庭的形式上的意义大于实质上的意义，由于公诉人举证时只宣读证</w:t>
      </w:r>
      <w:r>
        <w:rPr>
          <w:rFonts w:ascii="仿宋" w:eastAsia="仿宋" w:hAnsi="仿宋" w:hint="eastAsia"/>
          <w:sz w:val="32"/>
          <w:szCs w:val="32"/>
        </w:rPr>
        <w:lastRenderedPageBreak/>
        <w:t>据目录并对全案证据进行综合分析</w:t>
      </w:r>
      <w:r w:rsidR="008C37B6">
        <w:rPr>
          <w:rFonts w:ascii="仿宋" w:eastAsia="仿宋" w:hAnsi="仿宋" w:hint="eastAsia"/>
          <w:sz w:val="32"/>
          <w:szCs w:val="32"/>
        </w:rPr>
        <w:t>说明</w:t>
      </w:r>
      <w:r>
        <w:rPr>
          <w:rFonts w:ascii="仿宋" w:eastAsia="仿宋" w:hAnsi="仿宋" w:hint="eastAsia"/>
          <w:sz w:val="32"/>
          <w:szCs w:val="32"/>
        </w:rPr>
        <w:t>，被告人及其辩护人往往质证无方向，而庭审法官对于涉案证据的认定也不可能通过庭审的十分钟来进行，而是在庭前已经完成，因此，他们认为公诉人出庭一定程度上是表面的点缀，为了使得诉讼构造形式上看起来是完备的，而庭审的公正性和对抗性实际上并没有得到有效增强，在一定意义上，并没有打破“控、辩、审”的三方格局。第二，从公诉人的角度来谈，理念上不愿意在简易程序上多费脑子也是一个原因。另外，由于简易程序案件占了绝大多数，公诉人必须出庭无疑会给基层检察机关增加庞大的工作量，在“案多人少”的情况下，无疑增大了承办检察官的办案压力，往往公诉人在法院打电话通知开庭时才想起此事，于是在毫无准备的情形下匆忙赶往法院。</w:t>
      </w:r>
      <w:r w:rsidR="003F6F77">
        <w:rPr>
          <w:rFonts w:ascii="仿宋" w:eastAsia="仿宋" w:hAnsi="仿宋" w:hint="eastAsia"/>
          <w:sz w:val="32"/>
          <w:szCs w:val="32"/>
        </w:rPr>
        <w:t>有时还存在</w:t>
      </w:r>
      <w:r>
        <w:rPr>
          <w:rFonts w:ascii="仿宋" w:eastAsia="仿宋" w:hAnsi="仿宋" w:hint="eastAsia"/>
          <w:sz w:val="32"/>
          <w:szCs w:val="32"/>
        </w:rPr>
        <w:t>出庭支持公诉之人与办案之人分离，出庭只是走过场，更是对法律的亵渎，也与设立此制度节约司法资源的价值追求背道而驰。</w:t>
      </w:r>
    </w:p>
    <w:p w:rsidR="003B5FC2" w:rsidRDefault="003B5FC2">
      <w:pPr>
        <w:ind w:firstLineChars="200" w:firstLine="640"/>
        <w:rPr>
          <w:rFonts w:ascii="仿宋" w:eastAsia="仿宋" w:hAnsi="仿宋"/>
          <w:sz w:val="32"/>
          <w:szCs w:val="32"/>
        </w:rPr>
      </w:pPr>
    </w:p>
    <w:p w:rsidR="00691EC5" w:rsidRDefault="004D736E" w:rsidP="003B5FC2">
      <w:pPr>
        <w:ind w:firstLineChars="200" w:firstLine="640"/>
        <w:rPr>
          <w:rFonts w:ascii="黑体" w:eastAsia="黑体" w:hAnsi="黑体"/>
          <w:sz w:val="32"/>
          <w:szCs w:val="32"/>
        </w:rPr>
      </w:pPr>
      <w:r>
        <w:rPr>
          <w:rFonts w:ascii="黑体" w:eastAsia="黑体" w:hAnsi="黑体" w:hint="eastAsia"/>
          <w:sz w:val="32"/>
          <w:szCs w:val="32"/>
        </w:rPr>
        <w:t>六、刑事简易程序在司法实践中的完善</w:t>
      </w:r>
    </w:p>
    <w:p w:rsidR="00691EC5" w:rsidRDefault="004D736E" w:rsidP="003B5FC2">
      <w:pPr>
        <w:ind w:firstLineChars="200" w:firstLine="643"/>
        <w:rPr>
          <w:rFonts w:ascii="楷体" w:eastAsia="楷体" w:hAnsi="楷体" w:cs="楷体"/>
          <w:b/>
          <w:bCs/>
          <w:sz w:val="32"/>
          <w:szCs w:val="32"/>
        </w:rPr>
      </w:pPr>
      <w:r>
        <w:rPr>
          <w:rFonts w:ascii="楷体" w:eastAsia="楷体" w:hAnsi="楷体" w:cs="楷体" w:hint="eastAsia"/>
          <w:b/>
          <w:bCs/>
          <w:sz w:val="32"/>
          <w:szCs w:val="32"/>
        </w:rPr>
        <w:t>（一）</w:t>
      </w:r>
      <w:r w:rsidR="003B5FC2" w:rsidRPr="003B5FC2">
        <w:rPr>
          <w:rFonts w:ascii="楷体" w:eastAsia="楷体" w:hAnsi="楷体" w:cs="楷体" w:hint="eastAsia"/>
          <w:b/>
          <w:bCs/>
          <w:sz w:val="32"/>
          <w:szCs w:val="32"/>
        </w:rPr>
        <w:t>细化被告人的程序选择权</w:t>
      </w:r>
    </w:p>
    <w:p w:rsidR="003B5FC2" w:rsidRDefault="003B5FC2" w:rsidP="00FA43A9">
      <w:pPr>
        <w:ind w:firstLineChars="200" w:firstLine="640"/>
        <w:rPr>
          <w:rFonts w:ascii="仿宋" w:eastAsia="仿宋" w:hAnsi="仿宋" w:cs="仿宋"/>
          <w:sz w:val="32"/>
          <w:szCs w:val="32"/>
        </w:rPr>
      </w:pPr>
      <w:r w:rsidRPr="003B5FC2">
        <w:rPr>
          <w:rFonts w:ascii="仿宋" w:eastAsia="仿宋" w:hAnsi="仿宋" w:cs="仿宋" w:hint="eastAsia"/>
          <w:sz w:val="32"/>
          <w:szCs w:val="32"/>
        </w:rPr>
        <w:t>随着人权保障不断加强，诉讼民主精神不断</w:t>
      </w:r>
      <w:r w:rsidR="002A3D93">
        <w:rPr>
          <w:rFonts w:ascii="仿宋" w:eastAsia="仿宋" w:hAnsi="仿宋" w:cs="仿宋" w:hint="eastAsia"/>
          <w:sz w:val="32"/>
          <w:szCs w:val="32"/>
        </w:rPr>
        <w:t>弘</w:t>
      </w:r>
      <w:r w:rsidRPr="003B5FC2">
        <w:rPr>
          <w:rFonts w:ascii="仿宋" w:eastAsia="仿宋" w:hAnsi="仿宋" w:cs="仿宋" w:hint="eastAsia"/>
          <w:sz w:val="32"/>
          <w:szCs w:val="32"/>
        </w:rPr>
        <w:t>扬，2012《刑事诉讼法》将“被告人对适用简易程序没有异议”明确为适用简易程序的条件之一，同时要求庭审中审判人员要“告知被告人适用简易程序审理的法律规定，确认被告人是否同意适用简易程序审理”，这是被告人异议权与知情权的具体体现，既体</w:t>
      </w:r>
      <w:r w:rsidRPr="003B5FC2">
        <w:rPr>
          <w:rFonts w:ascii="仿宋" w:eastAsia="仿宋" w:hAnsi="仿宋" w:cs="仿宋" w:hint="eastAsia"/>
          <w:sz w:val="32"/>
          <w:szCs w:val="32"/>
        </w:rPr>
        <w:lastRenderedPageBreak/>
        <w:t>现了被告人诉讼主体地位的不断提高，诉讼权利的不断充实，也贯彻了宪法所规定的“保障人权”之精神，体现了刑事诉讼法与时俱进的新发展。</w:t>
      </w:r>
      <w:r>
        <w:rPr>
          <w:rFonts w:ascii="仿宋" w:eastAsia="仿宋" w:hAnsi="仿宋" w:cs="仿宋" w:hint="eastAsia"/>
          <w:sz w:val="32"/>
          <w:szCs w:val="32"/>
        </w:rPr>
        <w:t>但是</w:t>
      </w:r>
      <w:r w:rsidRPr="003B5FC2">
        <w:rPr>
          <w:rFonts w:ascii="仿宋" w:eastAsia="仿宋" w:hAnsi="仿宋" w:cs="仿宋" w:hint="eastAsia"/>
          <w:sz w:val="32"/>
          <w:szCs w:val="32"/>
        </w:rPr>
        <w:t>诉讼程序的简化，意味着对抗环节的减省，被告人的权利承担一定的风险</w:t>
      </w:r>
      <w:r>
        <w:rPr>
          <w:rFonts w:ascii="仿宋" w:eastAsia="仿宋" w:hAnsi="仿宋" w:cs="仿宋" w:hint="eastAsia"/>
          <w:sz w:val="32"/>
          <w:szCs w:val="32"/>
        </w:rPr>
        <w:t>，只是让被告人被动的行使异议权，不能充分的实现被告人的程序选择权，因此</w:t>
      </w:r>
      <w:r w:rsidRPr="003B5FC2">
        <w:rPr>
          <w:rFonts w:ascii="仿宋" w:eastAsia="仿宋" w:hAnsi="仿宋" w:cs="仿宋" w:hint="eastAsia"/>
          <w:sz w:val="32"/>
          <w:szCs w:val="32"/>
        </w:rPr>
        <w:t>应该</w:t>
      </w:r>
      <w:r>
        <w:rPr>
          <w:rFonts w:ascii="仿宋" w:eastAsia="仿宋" w:hAnsi="仿宋" w:cs="仿宋" w:hint="eastAsia"/>
          <w:sz w:val="32"/>
          <w:szCs w:val="32"/>
        </w:rPr>
        <w:t>将被告人程序</w:t>
      </w:r>
      <w:proofErr w:type="gramStart"/>
      <w:r>
        <w:rPr>
          <w:rFonts w:ascii="仿宋" w:eastAsia="仿宋" w:hAnsi="仿宋" w:cs="仿宋" w:hint="eastAsia"/>
          <w:sz w:val="32"/>
          <w:szCs w:val="32"/>
        </w:rPr>
        <w:t>选择权</w:t>
      </w:r>
      <w:r w:rsidRPr="003B5FC2">
        <w:rPr>
          <w:rFonts w:ascii="仿宋" w:eastAsia="仿宋" w:hAnsi="仿宋" w:cs="仿宋" w:hint="eastAsia"/>
          <w:sz w:val="32"/>
          <w:szCs w:val="32"/>
        </w:rPr>
        <w:t>未</w:t>
      </w:r>
      <w:r>
        <w:rPr>
          <w:rFonts w:ascii="仿宋" w:eastAsia="仿宋" w:hAnsi="仿宋" w:cs="仿宋" w:hint="eastAsia"/>
          <w:sz w:val="32"/>
          <w:szCs w:val="32"/>
        </w:rPr>
        <w:t>进行</w:t>
      </w:r>
      <w:proofErr w:type="gramEnd"/>
      <w:r w:rsidRPr="003B5FC2">
        <w:rPr>
          <w:rFonts w:ascii="仿宋" w:eastAsia="仿宋" w:hAnsi="仿宋" w:cs="仿宋" w:hint="eastAsia"/>
          <w:sz w:val="32"/>
          <w:szCs w:val="32"/>
        </w:rPr>
        <w:t>细化和明确</w:t>
      </w:r>
      <w:r>
        <w:rPr>
          <w:rFonts w:ascii="仿宋" w:eastAsia="仿宋" w:hAnsi="仿宋" w:cs="仿宋" w:hint="eastAsia"/>
          <w:sz w:val="32"/>
          <w:szCs w:val="32"/>
        </w:rPr>
        <w:t>，</w:t>
      </w:r>
      <w:r w:rsidRPr="003B5FC2">
        <w:rPr>
          <w:rFonts w:ascii="仿宋" w:eastAsia="仿宋" w:hAnsi="仿宋" w:cs="仿宋" w:hint="eastAsia"/>
          <w:sz w:val="32"/>
          <w:szCs w:val="32"/>
        </w:rPr>
        <w:t>包括启动权、知情权与变更权三个方面内容</w:t>
      </w:r>
      <w:r>
        <w:rPr>
          <w:rFonts w:ascii="仿宋" w:eastAsia="仿宋" w:hAnsi="仿宋" w:cs="仿宋" w:hint="eastAsia"/>
          <w:sz w:val="32"/>
          <w:szCs w:val="32"/>
        </w:rPr>
        <w:t>。</w:t>
      </w:r>
    </w:p>
    <w:p w:rsidR="003B5FC2" w:rsidRDefault="003B5FC2" w:rsidP="00FA43A9">
      <w:pPr>
        <w:ind w:firstLineChars="200" w:firstLine="640"/>
        <w:rPr>
          <w:rFonts w:ascii="仿宋" w:eastAsia="仿宋" w:hAnsi="仿宋" w:cs="仿宋"/>
          <w:sz w:val="32"/>
          <w:szCs w:val="32"/>
        </w:rPr>
      </w:pPr>
      <w:r w:rsidRPr="003B5FC2">
        <w:rPr>
          <w:rFonts w:ascii="仿宋" w:eastAsia="仿宋" w:hAnsi="仿宋" w:cs="仿宋" w:hint="eastAsia"/>
          <w:sz w:val="32"/>
          <w:szCs w:val="32"/>
        </w:rPr>
        <w:t>首先，被告人的程序启动权。程序启动权是指一方主动地、根据自己的自由意志，决定是否启动程序的权利。</w:t>
      </w:r>
      <w:r w:rsidR="00FA43A9" w:rsidRPr="00FA43A9">
        <w:rPr>
          <w:rFonts w:ascii="仿宋" w:eastAsia="仿宋" w:hAnsi="仿宋" w:cs="仿宋" w:hint="eastAsia"/>
          <w:sz w:val="32"/>
          <w:szCs w:val="32"/>
        </w:rPr>
        <w:t>从严格意义上说，2012 年《刑事诉讼法》所规定的程序异议权，并非是程序启动权。两者区别在于，前者强调被动地提出异议，后者强调主动地启动程序。</w:t>
      </w:r>
      <w:r w:rsidR="00FA43A9">
        <w:rPr>
          <w:rFonts w:ascii="仿宋" w:eastAsia="仿宋" w:hAnsi="仿宋" w:cs="仿宋" w:hint="eastAsia"/>
          <w:sz w:val="32"/>
          <w:szCs w:val="32"/>
        </w:rPr>
        <w:t>给予被告人更完整的程序启动权利。</w:t>
      </w:r>
    </w:p>
    <w:p w:rsidR="00FA43A9" w:rsidRDefault="00FA43A9" w:rsidP="00FA43A9">
      <w:pPr>
        <w:ind w:firstLineChars="200" w:firstLine="640"/>
        <w:rPr>
          <w:rFonts w:ascii="仿宋" w:eastAsia="仿宋" w:hAnsi="仿宋" w:cs="仿宋"/>
          <w:sz w:val="32"/>
          <w:szCs w:val="32"/>
        </w:rPr>
      </w:pPr>
      <w:r>
        <w:rPr>
          <w:rFonts w:ascii="仿宋" w:eastAsia="仿宋" w:hAnsi="仿宋" w:cs="仿宋" w:hint="eastAsia"/>
          <w:sz w:val="32"/>
          <w:szCs w:val="32"/>
        </w:rPr>
        <w:t>其次，</w:t>
      </w:r>
      <w:r w:rsidRPr="00FA43A9">
        <w:rPr>
          <w:rFonts w:ascii="仿宋" w:eastAsia="仿宋" w:hAnsi="仿宋" w:cs="仿宋" w:hint="eastAsia"/>
          <w:sz w:val="32"/>
          <w:szCs w:val="32"/>
        </w:rPr>
        <w:t>被告人的知情权。被告人只有在知晓简易程序的具体规定，明确适用简易程序可能给自己带来的诉讼风险和法律后果的基础上才能做出是否适用简易程序的决定。犯罪嫌疑人、被告人普遍法律意识薄弱，对如此专业之法律问题更是知之甚少。人民检察院对于拟建议法院适用简易程序的，应在讯问犯罪嫌疑人时告知其相关的权利义务，并听取其对适用简易程序的意见，或者制作专门的权利义务告知书</w:t>
      </w:r>
      <w:r>
        <w:rPr>
          <w:rFonts w:ascii="仿宋" w:eastAsia="仿宋" w:hAnsi="仿宋" w:cs="仿宋" w:hint="eastAsia"/>
          <w:sz w:val="32"/>
          <w:szCs w:val="32"/>
        </w:rPr>
        <w:t>。</w:t>
      </w:r>
    </w:p>
    <w:p w:rsidR="00FA43A9" w:rsidRDefault="00FA43A9" w:rsidP="00FA43A9">
      <w:pPr>
        <w:ind w:firstLineChars="200" w:firstLine="640"/>
        <w:rPr>
          <w:rFonts w:ascii="仿宋" w:eastAsia="仿宋" w:hAnsi="仿宋" w:cs="仿宋"/>
          <w:sz w:val="32"/>
          <w:szCs w:val="32"/>
        </w:rPr>
      </w:pPr>
      <w:r w:rsidRPr="00FA43A9">
        <w:rPr>
          <w:rFonts w:ascii="仿宋" w:eastAsia="仿宋" w:hAnsi="仿宋" w:cs="仿宋" w:hint="eastAsia"/>
          <w:sz w:val="32"/>
          <w:szCs w:val="32"/>
        </w:rPr>
        <w:t>最后，被告人的变更权。在开庭审理之前，如果被告人认为应该变更为普通程序进行审理的，人民法院应当尊重他的权利，变更诉讼程序，按照普通程序进行审理。虽然这样可能会</w:t>
      </w:r>
      <w:r w:rsidRPr="00FA43A9">
        <w:rPr>
          <w:rFonts w:ascii="仿宋" w:eastAsia="仿宋" w:hAnsi="仿宋" w:cs="仿宋" w:hint="eastAsia"/>
          <w:sz w:val="32"/>
          <w:szCs w:val="32"/>
        </w:rPr>
        <w:lastRenderedPageBreak/>
        <w:t>使之前为依简易程序审理案件而做的准备工作前功尽弃。但是从诉讼效益理论的角度看，假若被告人不愿意适用简易程序，法官却依旧适用此程序审理，被告人可能产生强烈的非正义感，庭审上，被告人可能会当庭翻供、做出无罪答辩来寻求对抗;判决做出后，对此结果，被告人很难心甘情愿地接受，如此必然导致上诉、缠讼，这样反而大大增加了诉讼成本，降低了诉讼效率。</w:t>
      </w:r>
    </w:p>
    <w:p w:rsidR="00FA43A9" w:rsidRPr="00FA43A9" w:rsidRDefault="00FA43A9" w:rsidP="00FA43A9">
      <w:pPr>
        <w:ind w:firstLineChars="200" w:firstLine="640"/>
        <w:rPr>
          <w:rFonts w:ascii="仿宋" w:eastAsia="仿宋" w:hAnsi="仿宋" w:cs="仿宋"/>
          <w:sz w:val="32"/>
          <w:szCs w:val="32"/>
        </w:rPr>
      </w:pPr>
    </w:p>
    <w:p w:rsidR="00691EC5" w:rsidRDefault="004D736E" w:rsidP="00FA43A9">
      <w:pPr>
        <w:ind w:firstLineChars="200" w:firstLine="643"/>
        <w:rPr>
          <w:rFonts w:ascii="楷体" w:eastAsia="楷体" w:hAnsi="楷体" w:cs="楷体"/>
          <w:b/>
          <w:bCs/>
          <w:sz w:val="32"/>
          <w:szCs w:val="32"/>
        </w:rPr>
      </w:pPr>
      <w:r>
        <w:rPr>
          <w:rFonts w:ascii="楷体" w:eastAsia="楷体" w:hAnsi="楷体" w:cs="楷体" w:hint="eastAsia"/>
          <w:b/>
          <w:bCs/>
          <w:sz w:val="32"/>
          <w:szCs w:val="32"/>
        </w:rPr>
        <w:t>（二）创新公诉人出庭的具体方式</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各地检察机关可结合本地情况，创新公诉人出庭制度，在保证有效出庭履行公诉职责的基础上，如何节约司法成本、提高诉讼效率显得非常重要和必要，通过对</w:t>
      </w:r>
      <w:r w:rsidR="002A3D93">
        <w:rPr>
          <w:rFonts w:ascii="仿宋" w:eastAsia="仿宋" w:hAnsi="仿宋" w:cs="仿宋" w:hint="eastAsia"/>
          <w:sz w:val="32"/>
          <w:szCs w:val="32"/>
        </w:rPr>
        <w:t>五</w:t>
      </w:r>
      <w:r>
        <w:rPr>
          <w:rFonts w:ascii="仿宋" w:eastAsia="仿宋" w:hAnsi="仿宋" w:cs="仿宋" w:hint="eastAsia"/>
          <w:sz w:val="32"/>
          <w:szCs w:val="32"/>
        </w:rPr>
        <w:t>家铁路法院审理刑事简易程序案件的分析，提出如下建议:</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第一，宣读起诉书时直接从认定的犯罪事实开始，证据部分略去，最后宣读“本院认为”部分。由于在法庭调查前，审判员已对被告人身份、前科、强制措施等情况予以核实，因此起诉书中关于被告人的基本情况、案件来源及诉讼过程没有必要宣读，另外证据部分在举证环节会提及，也没有宣读必要，但在宣读起诉书前应确认被告人对起诉书中记载上述内容无异议。</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第二，讯问环节以不问或少问为原则。被告人对定罪事实及量刑事实均无异议的可以不讯问，被告人否认非主要犯罪事</w:t>
      </w:r>
      <w:r>
        <w:rPr>
          <w:rFonts w:ascii="仿宋" w:eastAsia="仿宋" w:hAnsi="仿宋" w:cs="仿宋" w:hint="eastAsia"/>
          <w:sz w:val="32"/>
          <w:szCs w:val="32"/>
        </w:rPr>
        <w:lastRenderedPageBreak/>
        <w:t>实的、共同犯罪的分工问题或者对部分量刑情节等问题有异议的，应突出重点、详细讯问。在法庭审理过程中，可随时根据被告人提出的新情况进行讯问。</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第三，举证时不宜一刀切。一般情况下按照定罪和量刑分组举示，宣读证据种类，并对证据进行综合分析;对于被告人及辩护人要求出示的证据、被告人对非主要犯罪事实、量刑方面有异议的证据以及双方有争议的证据，或者法检两家对部分量刑情节认定有认识分歧的证据予以详细举示，对于被告人及辩护人有异议的证据应针对性质证。</w:t>
      </w:r>
    </w:p>
    <w:p w:rsidR="00691EC5" w:rsidRDefault="004D736E">
      <w:pPr>
        <w:ind w:firstLineChars="200" w:firstLine="640"/>
        <w:rPr>
          <w:rFonts w:ascii="仿宋" w:eastAsia="仿宋" w:hAnsi="仿宋" w:cs="仿宋"/>
          <w:sz w:val="32"/>
          <w:szCs w:val="32"/>
        </w:rPr>
      </w:pPr>
      <w:r>
        <w:rPr>
          <w:rFonts w:ascii="仿宋" w:eastAsia="仿宋" w:hAnsi="仿宋" w:cs="仿宋" w:hint="eastAsia"/>
          <w:sz w:val="32"/>
          <w:szCs w:val="32"/>
        </w:rPr>
        <w:t>第四，法庭辩论环节，公诉人发表公诉意见时对定性意见可一笔带过，重点放在量刑意见及有争议的问题上，但从定罪辩论向量刑辩论过渡时，层次应清楚，主要针对量刑问题</w:t>
      </w:r>
      <w:r w:rsidR="00941935">
        <w:rPr>
          <w:rFonts w:ascii="仿宋" w:eastAsia="仿宋" w:hAnsi="仿宋" w:cs="仿宋" w:hint="eastAsia"/>
          <w:sz w:val="32"/>
          <w:szCs w:val="32"/>
        </w:rPr>
        <w:t>。</w:t>
      </w:r>
    </w:p>
    <w:p w:rsidR="00C26AF5" w:rsidRPr="00C26AF5" w:rsidRDefault="00C26AF5">
      <w:pPr>
        <w:ind w:firstLineChars="200" w:firstLine="640"/>
        <w:rPr>
          <w:rFonts w:ascii="仿宋" w:eastAsia="仿宋" w:hAnsi="仿宋" w:cs="仿宋"/>
          <w:sz w:val="32"/>
          <w:szCs w:val="32"/>
        </w:rPr>
      </w:pPr>
    </w:p>
    <w:sectPr w:rsidR="00C26AF5" w:rsidRPr="00C26AF5" w:rsidSect="00DE558C">
      <w:headerReference w:type="even" r:id="rId12"/>
      <w:headerReference w:type="default" r:id="rId13"/>
      <w:footerReference w:type="even" r:id="rId14"/>
      <w:footerReference w:type="default" r:id="rId15"/>
      <w:headerReference w:type="first" r:id="rId16"/>
      <w:footerReference w:type="first" r:id="rId1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6E" w:rsidRDefault="004D736E">
      <w:r>
        <w:separator/>
      </w:r>
    </w:p>
  </w:endnote>
  <w:endnote w:type="continuationSeparator" w:id="0">
    <w:p w:rsidR="004D736E" w:rsidRDefault="004D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F5" w:rsidRDefault="00C26A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C5" w:rsidRDefault="004D736E">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E93BA3">
      <w:rPr>
        <w:noProof/>
      </w:rPr>
      <w:t>18</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F5" w:rsidRDefault="00C26A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6E" w:rsidRDefault="004D736E">
      <w:r>
        <w:separator/>
      </w:r>
    </w:p>
  </w:footnote>
  <w:footnote w:type="continuationSeparator" w:id="0">
    <w:p w:rsidR="004D736E" w:rsidRDefault="004D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F5" w:rsidRDefault="00C26A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C5" w:rsidRDefault="00691EC5" w:rsidP="00C26AF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F5" w:rsidRDefault="00C26A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257F"/>
    <w:multiLevelType w:val="singleLevel"/>
    <w:tmpl w:val="596C257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7C"/>
    <w:rsid w:val="00002575"/>
    <w:rsid w:val="00021426"/>
    <w:rsid w:val="000277D7"/>
    <w:rsid w:val="00033288"/>
    <w:rsid w:val="00034F44"/>
    <w:rsid w:val="00035676"/>
    <w:rsid w:val="00036FC7"/>
    <w:rsid w:val="00044921"/>
    <w:rsid w:val="000450CC"/>
    <w:rsid w:val="00055150"/>
    <w:rsid w:val="00064C3A"/>
    <w:rsid w:val="00064C6E"/>
    <w:rsid w:val="00065901"/>
    <w:rsid w:val="000667B8"/>
    <w:rsid w:val="0007237E"/>
    <w:rsid w:val="00087246"/>
    <w:rsid w:val="000A5DC8"/>
    <w:rsid w:val="000B3D4F"/>
    <w:rsid w:val="000C1EF3"/>
    <w:rsid w:val="000D5C2F"/>
    <w:rsid w:val="000E6209"/>
    <w:rsid w:val="000E6ABE"/>
    <w:rsid w:val="000F12ED"/>
    <w:rsid w:val="000F1892"/>
    <w:rsid w:val="000F1EE3"/>
    <w:rsid w:val="000F6661"/>
    <w:rsid w:val="000F72A6"/>
    <w:rsid w:val="00105996"/>
    <w:rsid w:val="001134A5"/>
    <w:rsid w:val="00116F0B"/>
    <w:rsid w:val="00125354"/>
    <w:rsid w:val="00164333"/>
    <w:rsid w:val="00165617"/>
    <w:rsid w:val="00165CCD"/>
    <w:rsid w:val="00175F4B"/>
    <w:rsid w:val="00185E06"/>
    <w:rsid w:val="001914C0"/>
    <w:rsid w:val="00197B0E"/>
    <w:rsid w:val="00197B78"/>
    <w:rsid w:val="001A52B5"/>
    <w:rsid w:val="001B0650"/>
    <w:rsid w:val="001B0E93"/>
    <w:rsid w:val="001B0F26"/>
    <w:rsid w:val="001B3689"/>
    <w:rsid w:val="001D0226"/>
    <w:rsid w:val="001D4380"/>
    <w:rsid w:val="001E6B5C"/>
    <w:rsid w:val="001F7286"/>
    <w:rsid w:val="002106E8"/>
    <w:rsid w:val="002112FC"/>
    <w:rsid w:val="0021256F"/>
    <w:rsid w:val="00217C1C"/>
    <w:rsid w:val="00217F1C"/>
    <w:rsid w:val="00233935"/>
    <w:rsid w:val="002420FC"/>
    <w:rsid w:val="00242656"/>
    <w:rsid w:val="00250A42"/>
    <w:rsid w:val="00261C3E"/>
    <w:rsid w:val="00264FD7"/>
    <w:rsid w:val="00270929"/>
    <w:rsid w:val="00282408"/>
    <w:rsid w:val="002840AE"/>
    <w:rsid w:val="00287B0E"/>
    <w:rsid w:val="002A13F6"/>
    <w:rsid w:val="002A3D93"/>
    <w:rsid w:val="002B0A1D"/>
    <w:rsid w:val="002B7E8B"/>
    <w:rsid w:val="002C205E"/>
    <w:rsid w:val="002D11A6"/>
    <w:rsid w:val="002D1251"/>
    <w:rsid w:val="002D2992"/>
    <w:rsid w:val="002E201B"/>
    <w:rsid w:val="002E76C0"/>
    <w:rsid w:val="002F319F"/>
    <w:rsid w:val="002F50EB"/>
    <w:rsid w:val="002F5404"/>
    <w:rsid w:val="00303E93"/>
    <w:rsid w:val="00325F44"/>
    <w:rsid w:val="00330542"/>
    <w:rsid w:val="00331069"/>
    <w:rsid w:val="003411E3"/>
    <w:rsid w:val="0034393E"/>
    <w:rsid w:val="00343F45"/>
    <w:rsid w:val="003505C5"/>
    <w:rsid w:val="003511A6"/>
    <w:rsid w:val="00351E28"/>
    <w:rsid w:val="00366573"/>
    <w:rsid w:val="003744C5"/>
    <w:rsid w:val="00380E84"/>
    <w:rsid w:val="003824F1"/>
    <w:rsid w:val="0038596F"/>
    <w:rsid w:val="003906A5"/>
    <w:rsid w:val="00394B3C"/>
    <w:rsid w:val="00394BC1"/>
    <w:rsid w:val="003B5FC2"/>
    <w:rsid w:val="003B7942"/>
    <w:rsid w:val="003C1D72"/>
    <w:rsid w:val="003C7791"/>
    <w:rsid w:val="003E30E1"/>
    <w:rsid w:val="003E44FA"/>
    <w:rsid w:val="003F6AD6"/>
    <w:rsid w:val="003F6F77"/>
    <w:rsid w:val="00415E78"/>
    <w:rsid w:val="00416560"/>
    <w:rsid w:val="0042516D"/>
    <w:rsid w:val="00441E0C"/>
    <w:rsid w:val="00446CC7"/>
    <w:rsid w:val="004508B5"/>
    <w:rsid w:val="004534BB"/>
    <w:rsid w:val="0045426A"/>
    <w:rsid w:val="0045441D"/>
    <w:rsid w:val="00461D98"/>
    <w:rsid w:val="00465097"/>
    <w:rsid w:val="004755F7"/>
    <w:rsid w:val="004840C7"/>
    <w:rsid w:val="00485005"/>
    <w:rsid w:val="004A008C"/>
    <w:rsid w:val="004A709E"/>
    <w:rsid w:val="004B01E1"/>
    <w:rsid w:val="004B18E2"/>
    <w:rsid w:val="004B1B9D"/>
    <w:rsid w:val="004C04AB"/>
    <w:rsid w:val="004C0BCE"/>
    <w:rsid w:val="004C6760"/>
    <w:rsid w:val="004C76DE"/>
    <w:rsid w:val="004C789A"/>
    <w:rsid w:val="004D736E"/>
    <w:rsid w:val="004D7AE6"/>
    <w:rsid w:val="004E07F3"/>
    <w:rsid w:val="004E43B2"/>
    <w:rsid w:val="004E63A5"/>
    <w:rsid w:val="004F6135"/>
    <w:rsid w:val="00501C14"/>
    <w:rsid w:val="0050226B"/>
    <w:rsid w:val="005035C4"/>
    <w:rsid w:val="00507A84"/>
    <w:rsid w:val="00512E41"/>
    <w:rsid w:val="005141AD"/>
    <w:rsid w:val="00521A24"/>
    <w:rsid w:val="00537571"/>
    <w:rsid w:val="00542C45"/>
    <w:rsid w:val="00546BB4"/>
    <w:rsid w:val="00547DA0"/>
    <w:rsid w:val="005528E0"/>
    <w:rsid w:val="00554C1D"/>
    <w:rsid w:val="005602E5"/>
    <w:rsid w:val="00565CA6"/>
    <w:rsid w:val="00566401"/>
    <w:rsid w:val="005664B3"/>
    <w:rsid w:val="00584217"/>
    <w:rsid w:val="00584BEC"/>
    <w:rsid w:val="005872FB"/>
    <w:rsid w:val="0058792C"/>
    <w:rsid w:val="00593052"/>
    <w:rsid w:val="00597899"/>
    <w:rsid w:val="005B14FC"/>
    <w:rsid w:val="005C265F"/>
    <w:rsid w:val="005D2079"/>
    <w:rsid w:val="005D3B84"/>
    <w:rsid w:val="005D7DEE"/>
    <w:rsid w:val="005E153C"/>
    <w:rsid w:val="006038C5"/>
    <w:rsid w:val="00603AA3"/>
    <w:rsid w:val="00610D1D"/>
    <w:rsid w:val="00613ED2"/>
    <w:rsid w:val="00616B80"/>
    <w:rsid w:val="00625E07"/>
    <w:rsid w:val="0062610B"/>
    <w:rsid w:val="0062738E"/>
    <w:rsid w:val="006335BE"/>
    <w:rsid w:val="00637827"/>
    <w:rsid w:val="00646876"/>
    <w:rsid w:val="006513AD"/>
    <w:rsid w:val="0065435A"/>
    <w:rsid w:val="006545DC"/>
    <w:rsid w:val="00655EC4"/>
    <w:rsid w:val="00661F72"/>
    <w:rsid w:val="00662F6A"/>
    <w:rsid w:val="006647F6"/>
    <w:rsid w:val="0067290E"/>
    <w:rsid w:val="00691EC5"/>
    <w:rsid w:val="006965FD"/>
    <w:rsid w:val="006A0D7D"/>
    <w:rsid w:val="006B2040"/>
    <w:rsid w:val="006B4798"/>
    <w:rsid w:val="006C2A65"/>
    <w:rsid w:val="006C38AE"/>
    <w:rsid w:val="006C73D8"/>
    <w:rsid w:val="006D0E2E"/>
    <w:rsid w:val="006D72BE"/>
    <w:rsid w:val="006D77D3"/>
    <w:rsid w:val="006F60C0"/>
    <w:rsid w:val="006F7A09"/>
    <w:rsid w:val="00707744"/>
    <w:rsid w:val="00722997"/>
    <w:rsid w:val="00722D7E"/>
    <w:rsid w:val="007237D6"/>
    <w:rsid w:val="00731E52"/>
    <w:rsid w:val="00740661"/>
    <w:rsid w:val="00750C92"/>
    <w:rsid w:val="00756033"/>
    <w:rsid w:val="007564A1"/>
    <w:rsid w:val="00766DD2"/>
    <w:rsid w:val="00773242"/>
    <w:rsid w:val="00777842"/>
    <w:rsid w:val="00777B9C"/>
    <w:rsid w:val="00781B33"/>
    <w:rsid w:val="0078346D"/>
    <w:rsid w:val="0079408B"/>
    <w:rsid w:val="00797B52"/>
    <w:rsid w:val="007B231E"/>
    <w:rsid w:val="007B43C8"/>
    <w:rsid w:val="007B6561"/>
    <w:rsid w:val="007C0256"/>
    <w:rsid w:val="007C4438"/>
    <w:rsid w:val="007C51EE"/>
    <w:rsid w:val="007C61F9"/>
    <w:rsid w:val="007D124A"/>
    <w:rsid w:val="007D7C9F"/>
    <w:rsid w:val="007F2C67"/>
    <w:rsid w:val="008016C3"/>
    <w:rsid w:val="00804E37"/>
    <w:rsid w:val="008131C1"/>
    <w:rsid w:val="00820FC7"/>
    <w:rsid w:val="0082207E"/>
    <w:rsid w:val="0083666A"/>
    <w:rsid w:val="00845075"/>
    <w:rsid w:val="00845795"/>
    <w:rsid w:val="00853290"/>
    <w:rsid w:val="00861228"/>
    <w:rsid w:val="00862BD9"/>
    <w:rsid w:val="00866735"/>
    <w:rsid w:val="00876263"/>
    <w:rsid w:val="008845AF"/>
    <w:rsid w:val="00894A9C"/>
    <w:rsid w:val="008B232C"/>
    <w:rsid w:val="008C1595"/>
    <w:rsid w:val="008C30AA"/>
    <w:rsid w:val="008C37B6"/>
    <w:rsid w:val="008D5615"/>
    <w:rsid w:val="008D76EE"/>
    <w:rsid w:val="008E17BB"/>
    <w:rsid w:val="008E2A5C"/>
    <w:rsid w:val="008E4044"/>
    <w:rsid w:val="00901ED1"/>
    <w:rsid w:val="009210B6"/>
    <w:rsid w:val="0092295C"/>
    <w:rsid w:val="00924891"/>
    <w:rsid w:val="00931FDA"/>
    <w:rsid w:val="0093227A"/>
    <w:rsid w:val="00941935"/>
    <w:rsid w:val="00953EA6"/>
    <w:rsid w:val="00964944"/>
    <w:rsid w:val="00972042"/>
    <w:rsid w:val="00981792"/>
    <w:rsid w:val="00985FE7"/>
    <w:rsid w:val="00986511"/>
    <w:rsid w:val="0099579A"/>
    <w:rsid w:val="009B1556"/>
    <w:rsid w:val="009B2838"/>
    <w:rsid w:val="009B6537"/>
    <w:rsid w:val="009B70E7"/>
    <w:rsid w:val="009C55B4"/>
    <w:rsid w:val="009E0258"/>
    <w:rsid w:val="009E33F5"/>
    <w:rsid w:val="009E39B0"/>
    <w:rsid w:val="009E4772"/>
    <w:rsid w:val="009E7BED"/>
    <w:rsid w:val="009F6F64"/>
    <w:rsid w:val="00A00EA9"/>
    <w:rsid w:val="00A075C1"/>
    <w:rsid w:val="00A14827"/>
    <w:rsid w:val="00A20A72"/>
    <w:rsid w:val="00A23377"/>
    <w:rsid w:val="00A25F0A"/>
    <w:rsid w:val="00A2786E"/>
    <w:rsid w:val="00A3678B"/>
    <w:rsid w:val="00A407C1"/>
    <w:rsid w:val="00A6145A"/>
    <w:rsid w:val="00A62010"/>
    <w:rsid w:val="00A63D57"/>
    <w:rsid w:val="00A6522C"/>
    <w:rsid w:val="00A659D2"/>
    <w:rsid w:val="00A771E5"/>
    <w:rsid w:val="00A77B78"/>
    <w:rsid w:val="00A800BF"/>
    <w:rsid w:val="00A824F3"/>
    <w:rsid w:val="00AA6585"/>
    <w:rsid w:val="00AB18BD"/>
    <w:rsid w:val="00AB6078"/>
    <w:rsid w:val="00AC6411"/>
    <w:rsid w:val="00AE17F2"/>
    <w:rsid w:val="00B00A32"/>
    <w:rsid w:val="00B048A6"/>
    <w:rsid w:val="00B16A9F"/>
    <w:rsid w:val="00B263D4"/>
    <w:rsid w:val="00B34E11"/>
    <w:rsid w:val="00B43E5A"/>
    <w:rsid w:val="00B52544"/>
    <w:rsid w:val="00B550E6"/>
    <w:rsid w:val="00B628ED"/>
    <w:rsid w:val="00B649A9"/>
    <w:rsid w:val="00B74388"/>
    <w:rsid w:val="00B80A6E"/>
    <w:rsid w:val="00B94D88"/>
    <w:rsid w:val="00BA7B78"/>
    <w:rsid w:val="00BB0B02"/>
    <w:rsid w:val="00BB5278"/>
    <w:rsid w:val="00BC5772"/>
    <w:rsid w:val="00BC5E35"/>
    <w:rsid w:val="00BC5F08"/>
    <w:rsid w:val="00BC6BD1"/>
    <w:rsid w:val="00BE3373"/>
    <w:rsid w:val="00BE51BD"/>
    <w:rsid w:val="00BE64E1"/>
    <w:rsid w:val="00BF20E0"/>
    <w:rsid w:val="00BF7C7C"/>
    <w:rsid w:val="00C20D89"/>
    <w:rsid w:val="00C26AF5"/>
    <w:rsid w:val="00C41916"/>
    <w:rsid w:val="00C41C8E"/>
    <w:rsid w:val="00C41F8D"/>
    <w:rsid w:val="00C6026B"/>
    <w:rsid w:val="00C6224A"/>
    <w:rsid w:val="00C67C7B"/>
    <w:rsid w:val="00C73C33"/>
    <w:rsid w:val="00C76B58"/>
    <w:rsid w:val="00C8420B"/>
    <w:rsid w:val="00C9360A"/>
    <w:rsid w:val="00CA266D"/>
    <w:rsid w:val="00CA72B6"/>
    <w:rsid w:val="00CB494A"/>
    <w:rsid w:val="00CD13BE"/>
    <w:rsid w:val="00CE1A29"/>
    <w:rsid w:val="00CE471F"/>
    <w:rsid w:val="00CE5F76"/>
    <w:rsid w:val="00CF3FEF"/>
    <w:rsid w:val="00D04366"/>
    <w:rsid w:val="00D1193C"/>
    <w:rsid w:val="00D13E41"/>
    <w:rsid w:val="00D22F7E"/>
    <w:rsid w:val="00D232D1"/>
    <w:rsid w:val="00D301AB"/>
    <w:rsid w:val="00D53450"/>
    <w:rsid w:val="00D53BD5"/>
    <w:rsid w:val="00D545D1"/>
    <w:rsid w:val="00D773AA"/>
    <w:rsid w:val="00D96E13"/>
    <w:rsid w:val="00D96F25"/>
    <w:rsid w:val="00DA14EF"/>
    <w:rsid w:val="00DA5983"/>
    <w:rsid w:val="00DB058C"/>
    <w:rsid w:val="00DB22C0"/>
    <w:rsid w:val="00DC325F"/>
    <w:rsid w:val="00DC32F0"/>
    <w:rsid w:val="00DC4793"/>
    <w:rsid w:val="00DC6A0B"/>
    <w:rsid w:val="00DC7B31"/>
    <w:rsid w:val="00DE558C"/>
    <w:rsid w:val="00DE7034"/>
    <w:rsid w:val="00DF4BC8"/>
    <w:rsid w:val="00DF55DB"/>
    <w:rsid w:val="00E2268E"/>
    <w:rsid w:val="00E26C03"/>
    <w:rsid w:val="00E26C28"/>
    <w:rsid w:val="00E5606B"/>
    <w:rsid w:val="00E62413"/>
    <w:rsid w:val="00E67333"/>
    <w:rsid w:val="00E85A13"/>
    <w:rsid w:val="00E860B0"/>
    <w:rsid w:val="00E86D04"/>
    <w:rsid w:val="00E87BAC"/>
    <w:rsid w:val="00E90F67"/>
    <w:rsid w:val="00E93BA3"/>
    <w:rsid w:val="00EA0E06"/>
    <w:rsid w:val="00EA2C8B"/>
    <w:rsid w:val="00EB2326"/>
    <w:rsid w:val="00EB74AA"/>
    <w:rsid w:val="00EB789B"/>
    <w:rsid w:val="00EC31B8"/>
    <w:rsid w:val="00EC72AE"/>
    <w:rsid w:val="00ED658F"/>
    <w:rsid w:val="00EF35E8"/>
    <w:rsid w:val="00F01B42"/>
    <w:rsid w:val="00F068BA"/>
    <w:rsid w:val="00F16263"/>
    <w:rsid w:val="00F31D35"/>
    <w:rsid w:val="00F36775"/>
    <w:rsid w:val="00F416D7"/>
    <w:rsid w:val="00F449C8"/>
    <w:rsid w:val="00F4573A"/>
    <w:rsid w:val="00F52437"/>
    <w:rsid w:val="00F54688"/>
    <w:rsid w:val="00F55AD2"/>
    <w:rsid w:val="00F563D6"/>
    <w:rsid w:val="00F56B04"/>
    <w:rsid w:val="00F645D8"/>
    <w:rsid w:val="00F669DD"/>
    <w:rsid w:val="00F70F47"/>
    <w:rsid w:val="00F726AA"/>
    <w:rsid w:val="00F77CDF"/>
    <w:rsid w:val="00F81E3E"/>
    <w:rsid w:val="00F84547"/>
    <w:rsid w:val="00F90300"/>
    <w:rsid w:val="00F93268"/>
    <w:rsid w:val="00FA43A9"/>
    <w:rsid w:val="00FA6DA8"/>
    <w:rsid w:val="00FC1D3B"/>
    <w:rsid w:val="00FD0029"/>
    <w:rsid w:val="00FD2E37"/>
    <w:rsid w:val="00FD315E"/>
    <w:rsid w:val="00FD391F"/>
    <w:rsid w:val="00FD4719"/>
    <w:rsid w:val="00FD6539"/>
    <w:rsid w:val="00FE43A1"/>
    <w:rsid w:val="00FE5C3E"/>
    <w:rsid w:val="00FE615D"/>
    <w:rsid w:val="00FF2200"/>
    <w:rsid w:val="05984904"/>
    <w:rsid w:val="140B1A77"/>
    <w:rsid w:val="25B82512"/>
    <w:rsid w:val="26EE4075"/>
    <w:rsid w:val="52F92524"/>
    <w:rsid w:val="658A1289"/>
    <w:rsid w:val="6D2C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latin typeface="仿宋" panose="02010609060101010101" pitchFamily="3" charset="-122"/>
                <a:ea typeface="仿宋" panose="02010609060101010101" pitchFamily="3" charset="-122"/>
              </a:rPr>
              <a:t>刑事简易程序适用情况</a:t>
            </a:r>
          </a:p>
        </c:rich>
      </c:tx>
      <c:layout/>
      <c:overlay val="0"/>
    </c:title>
    <c:autoTitleDeleted val="0"/>
    <c:plotArea>
      <c:layout/>
      <c:lineChart>
        <c:grouping val="standard"/>
        <c:varyColors val="0"/>
        <c:ser>
          <c:idx val="0"/>
          <c:order val="0"/>
          <c:tx>
            <c:strRef>
              <c:f>Sheet1!$B$1</c:f>
              <c:strCache>
                <c:ptCount val="1"/>
                <c:pt idx="0">
                  <c:v>长春铁路</c:v>
                </c:pt>
              </c:strCache>
            </c:strRef>
          </c:tx>
          <c:cat>
            <c:strRef>
              <c:f>Sheet1!$A$2:$A$4</c:f>
              <c:strCache>
                <c:ptCount val="3"/>
                <c:pt idx="0">
                  <c:v>2014年</c:v>
                </c:pt>
                <c:pt idx="1">
                  <c:v>2015年</c:v>
                </c:pt>
                <c:pt idx="2">
                  <c:v>2016年</c:v>
                </c:pt>
              </c:strCache>
            </c:strRef>
          </c:cat>
          <c:val>
            <c:numRef>
              <c:f>Sheet1!$B$2:$B$4</c:f>
              <c:numCache>
                <c:formatCode>0.00%</c:formatCode>
                <c:ptCount val="3"/>
                <c:pt idx="0">
                  <c:v>0.69699999999999995</c:v>
                </c:pt>
                <c:pt idx="1">
                  <c:v>0.46500000000000002</c:v>
                </c:pt>
                <c:pt idx="2">
                  <c:v>0.42299999999999999</c:v>
                </c:pt>
              </c:numCache>
            </c:numRef>
          </c:val>
          <c:smooth val="0"/>
        </c:ser>
        <c:ser>
          <c:idx val="1"/>
          <c:order val="1"/>
          <c:tx>
            <c:strRef>
              <c:f>Sheet1!$C$1</c:f>
              <c:strCache>
                <c:ptCount val="1"/>
                <c:pt idx="0">
                  <c:v>吉林铁路</c:v>
                </c:pt>
              </c:strCache>
            </c:strRef>
          </c:tx>
          <c:cat>
            <c:strRef>
              <c:f>Sheet1!$A$2:$A$4</c:f>
              <c:strCache>
                <c:ptCount val="3"/>
                <c:pt idx="0">
                  <c:v>2014年</c:v>
                </c:pt>
                <c:pt idx="1">
                  <c:v>2015年</c:v>
                </c:pt>
                <c:pt idx="2">
                  <c:v>2016年</c:v>
                </c:pt>
              </c:strCache>
            </c:strRef>
          </c:cat>
          <c:val>
            <c:numRef>
              <c:f>Sheet1!$C$2:$C$4</c:f>
              <c:numCache>
                <c:formatCode>0.00%</c:formatCode>
                <c:ptCount val="3"/>
                <c:pt idx="0">
                  <c:v>0.875</c:v>
                </c:pt>
                <c:pt idx="1">
                  <c:v>0.96970000000000001</c:v>
                </c:pt>
                <c:pt idx="2" formatCode="0%">
                  <c:v>0.91</c:v>
                </c:pt>
              </c:numCache>
            </c:numRef>
          </c:val>
          <c:smooth val="0"/>
        </c:ser>
        <c:ser>
          <c:idx val="2"/>
          <c:order val="2"/>
          <c:tx>
            <c:strRef>
              <c:f>Sheet1!$D$1</c:f>
              <c:strCache>
                <c:ptCount val="1"/>
                <c:pt idx="0">
                  <c:v>通化铁路</c:v>
                </c:pt>
              </c:strCache>
            </c:strRef>
          </c:tx>
          <c:cat>
            <c:strRef>
              <c:f>Sheet1!$A$2:$A$4</c:f>
              <c:strCache>
                <c:ptCount val="3"/>
                <c:pt idx="0">
                  <c:v>2014年</c:v>
                </c:pt>
                <c:pt idx="1">
                  <c:v>2015年</c:v>
                </c:pt>
                <c:pt idx="2">
                  <c:v>2016年</c:v>
                </c:pt>
              </c:strCache>
            </c:strRef>
          </c:cat>
          <c:val>
            <c:numRef>
              <c:f>Sheet1!$D$2:$D$4</c:f>
              <c:numCache>
                <c:formatCode>0.00%</c:formatCode>
                <c:ptCount val="3"/>
                <c:pt idx="0" formatCode="0%">
                  <c:v>0.89</c:v>
                </c:pt>
                <c:pt idx="1">
                  <c:v>0.90900000000000003</c:v>
                </c:pt>
                <c:pt idx="2">
                  <c:v>0.4375</c:v>
                </c:pt>
              </c:numCache>
            </c:numRef>
          </c:val>
          <c:smooth val="0"/>
        </c:ser>
        <c:ser>
          <c:idx val="3"/>
          <c:order val="3"/>
          <c:tx>
            <c:strRef>
              <c:f>Sheet1!$E$1</c:f>
              <c:strCache>
                <c:ptCount val="1"/>
                <c:pt idx="0">
                  <c:v>图们铁路</c:v>
                </c:pt>
              </c:strCache>
            </c:strRef>
          </c:tx>
          <c:cat>
            <c:strRef>
              <c:f>Sheet1!$A$2:$A$4</c:f>
              <c:strCache>
                <c:ptCount val="3"/>
                <c:pt idx="0">
                  <c:v>2014年</c:v>
                </c:pt>
                <c:pt idx="1">
                  <c:v>2015年</c:v>
                </c:pt>
                <c:pt idx="2">
                  <c:v>2016年</c:v>
                </c:pt>
              </c:strCache>
            </c:strRef>
          </c:cat>
          <c:val>
            <c:numRef>
              <c:f>Sheet1!$E$2:$E$4</c:f>
              <c:numCache>
                <c:formatCode>0%</c:formatCode>
                <c:ptCount val="3"/>
                <c:pt idx="0">
                  <c:v>1</c:v>
                </c:pt>
                <c:pt idx="1">
                  <c:v>0.5</c:v>
                </c:pt>
                <c:pt idx="2" formatCode="0.00%">
                  <c:v>0.66669999999999996</c:v>
                </c:pt>
              </c:numCache>
            </c:numRef>
          </c:val>
          <c:smooth val="0"/>
        </c:ser>
        <c:ser>
          <c:idx val="4"/>
          <c:order val="4"/>
          <c:tx>
            <c:strRef>
              <c:f>Sheet1!$F$1</c:f>
              <c:strCache>
                <c:ptCount val="1"/>
                <c:pt idx="0">
                  <c:v>白城铁路</c:v>
                </c:pt>
              </c:strCache>
            </c:strRef>
          </c:tx>
          <c:spPr>
            <a:ln w="28575" cap="rnd" cmpd="sng" algn="ctr">
              <a:solidFill>
                <a:schemeClr val="accent6">
                  <a:lumMod val="60000"/>
                  <a:lumOff val="40000"/>
                </a:schemeClr>
              </a:solidFill>
              <a:prstDash val="solid"/>
              <a:round/>
            </a:ln>
          </c:spPr>
          <c:cat>
            <c:strRef>
              <c:f>Sheet1!$A$2:$A$4</c:f>
              <c:strCache>
                <c:ptCount val="3"/>
                <c:pt idx="0">
                  <c:v>2014年</c:v>
                </c:pt>
                <c:pt idx="1">
                  <c:v>2015年</c:v>
                </c:pt>
                <c:pt idx="2">
                  <c:v>2016年</c:v>
                </c:pt>
              </c:strCache>
            </c:strRef>
          </c:cat>
          <c:val>
            <c:numRef>
              <c:f>Sheet1!$F$2:$F$4</c:f>
              <c:numCache>
                <c:formatCode>0.00%</c:formatCode>
                <c:ptCount val="3"/>
                <c:pt idx="0">
                  <c:v>0.83299999999999996</c:v>
                </c:pt>
                <c:pt idx="1">
                  <c:v>0.83299999999999996</c:v>
                </c:pt>
                <c:pt idx="2">
                  <c:v>0.86699999999999999</c:v>
                </c:pt>
              </c:numCache>
            </c:numRef>
          </c:val>
          <c:smooth val="0"/>
        </c:ser>
        <c:dLbls>
          <c:showLegendKey val="0"/>
          <c:showVal val="0"/>
          <c:showCatName val="0"/>
          <c:showSerName val="0"/>
          <c:showPercent val="0"/>
          <c:showBubbleSize val="0"/>
        </c:dLbls>
        <c:marker val="1"/>
        <c:smooth val="0"/>
        <c:axId val="85651456"/>
        <c:axId val="85652992"/>
      </c:lineChart>
      <c:catAx>
        <c:axId val="856514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5652992"/>
        <c:crosses val="autoZero"/>
        <c:auto val="1"/>
        <c:lblAlgn val="ctr"/>
        <c:lblOffset val="100"/>
        <c:noMultiLvlLbl val="0"/>
      </c:catAx>
      <c:valAx>
        <c:axId val="85652992"/>
        <c:scaling>
          <c:orientation val="minMax"/>
        </c:scaling>
        <c:delete val="0"/>
        <c:axPos val="l"/>
        <c:majorGridlines/>
        <c:numFmt formatCode="0.0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565145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latin typeface="华文仿宋" panose="02010600040101010101" pitchFamily="2" charset="-122"/>
                <a:ea typeface="华文仿宋" panose="02010600040101010101" pitchFamily="2" charset="-122"/>
              </a:rPr>
              <a:t>适用简易程序审理案件类型</a:t>
            </a:r>
          </a:p>
        </c:rich>
      </c:tx>
      <c:layout/>
      <c:overlay val="0"/>
    </c:title>
    <c:autoTitleDeleted val="0"/>
    <c:plotArea>
      <c:layout>
        <c:manualLayout>
          <c:layoutTarget val="inner"/>
          <c:xMode val="edge"/>
          <c:yMode val="edge"/>
          <c:x val="0.11660109829444799"/>
          <c:y val="0.176666015921564"/>
          <c:w val="0.41689740275002901"/>
          <c:h val="0.64958432521516196"/>
        </c:manualLayout>
      </c:layout>
      <c:pieChart>
        <c:varyColors val="1"/>
        <c:ser>
          <c:idx val="0"/>
          <c:order val="0"/>
          <c:tx>
            <c:strRef>
              <c:f>Sheet1!$B$1</c:f>
              <c:strCache>
                <c:ptCount val="1"/>
                <c:pt idx="0">
                  <c:v>适用简易程序案件类型</c:v>
                </c:pt>
              </c:strCache>
            </c:strRef>
          </c:tx>
          <c:explosion val="25"/>
          <c:dPt>
            <c:idx val="0"/>
            <c:bubble3D val="0"/>
            <c:spPr>
              <a:solidFill>
                <a:srgbClr val="00B0F0"/>
              </a:solidFill>
            </c:spPr>
          </c:dPt>
          <c:dPt>
            <c:idx val="1"/>
            <c:bubble3D val="0"/>
            <c:spPr>
              <a:solidFill>
                <a:srgbClr val="FF6699"/>
              </a:solidFill>
            </c:spPr>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Lbls>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Sheet1!$A$2:$A$18</c:f>
              <c:strCache>
                <c:ptCount val="17"/>
                <c:pt idx="0">
                  <c:v>盗窃</c:v>
                </c:pt>
                <c:pt idx="1">
                  <c:v>诈骗</c:v>
                </c:pt>
                <c:pt idx="2">
                  <c:v>盗伐林木</c:v>
                </c:pt>
                <c:pt idx="3">
                  <c:v>故意伤害</c:v>
                </c:pt>
                <c:pt idx="4">
                  <c:v>寻衅滋事</c:v>
                </c:pt>
                <c:pt idx="5">
                  <c:v>盗窃、掩饰隐瞒犯罪所得</c:v>
                </c:pt>
                <c:pt idx="6">
                  <c:v>掩饰隐瞒犯罪所得收益</c:v>
                </c:pt>
                <c:pt idx="7">
                  <c:v>利用邪教组织破坏法律实施</c:v>
                </c:pt>
                <c:pt idx="8">
                  <c:v>破坏电力设备</c:v>
                </c:pt>
                <c:pt idx="9">
                  <c:v>滥伐林木</c:v>
                </c:pt>
                <c:pt idx="10">
                  <c:v>遗弃</c:v>
                </c:pt>
                <c:pt idx="11">
                  <c:v>非法占用农用地</c:v>
                </c:pt>
                <c:pt idx="12">
                  <c:v>受贿</c:v>
                </c:pt>
                <c:pt idx="13">
                  <c:v>妨害公务</c:v>
                </c:pt>
                <c:pt idx="14">
                  <c:v>倒卖车票</c:v>
                </c:pt>
                <c:pt idx="15">
                  <c:v>抢劫、盗窃</c:v>
                </c:pt>
                <c:pt idx="16">
                  <c:v>非法持有毒品</c:v>
                </c:pt>
              </c:strCache>
            </c:strRef>
          </c:cat>
          <c:val>
            <c:numRef>
              <c:f>Sheet1!$B$2:$B$18</c:f>
              <c:numCache>
                <c:formatCode>General</c:formatCode>
                <c:ptCount val="17"/>
                <c:pt idx="0">
                  <c:v>137</c:v>
                </c:pt>
                <c:pt idx="1">
                  <c:v>57</c:v>
                </c:pt>
                <c:pt idx="2">
                  <c:v>6</c:v>
                </c:pt>
                <c:pt idx="3">
                  <c:v>5</c:v>
                </c:pt>
                <c:pt idx="4">
                  <c:v>3</c:v>
                </c:pt>
                <c:pt idx="5">
                  <c:v>3</c:v>
                </c:pt>
                <c:pt idx="6">
                  <c:v>1</c:v>
                </c:pt>
                <c:pt idx="7">
                  <c:v>1</c:v>
                </c:pt>
                <c:pt idx="8">
                  <c:v>1</c:v>
                </c:pt>
                <c:pt idx="9">
                  <c:v>1</c:v>
                </c:pt>
                <c:pt idx="10">
                  <c:v>1</c:v>
                </c:pt>
                <c:pt idx="11">
                  <c:v>1</c:v>
                </c:pt>
                <c:pt idx="12">
                  <c:v>1</c:v>
                </c:pt>
                <c:pt idx="13">
                  <c:v>1</c:v>
                </c:pt>
                <c:pt idx="14">
                  <c:v>1</c:v>
                </c:pt>
                <c:pt idx="15">
                  <c:v>1</c:v>
                </c:pt>
                <c:pt idx="1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126567512394298"/>
          <c:y val="0.15525071762723899"/>
          <c:w val="0.40108568781843401"/>
          <c:h val="0.7621406335835929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03072855965204E-2"/>
          <c:y val="4.540763673890609E-2"/>
          <c:w val="0.77604542926557973"/>
          <c:h val="0.82194193218107803"/>
        </c:manualLayout>
      </c:layout>
      <c:barChart>
        <c:barDir val="bar"/>
        <c:grouping val="clustered"/>
        <c:varyColors val="0"/>
        <c:ser>
          <c:idx val="0"/>
          <c:order val="0"/>
          <c:tx>
            <c:strRef>
              <c:f>Sheet1!$B$1</c:f>
              <c:strCache>
                <c:ptCount val="1"/>
                <c:pt idx="0">
                  <c:v>三年以上有期徒刑</c:v>
                </c:pt>
              </c:strCache>
            </c:strRef>
          </c:tx>
          <c:invertIfNegative val="0"/>
          <c:cat>
            <c:strRef>
              <c:f>Sheet1!$A$2:$A$6</c:f>
              <c:strCache>
                <c:ptCount val="5"/>
                <c:pt idx="0">
                  <c:v>长春</c:v>
                </c:pt>
                <c:pt idx="1">
                  <c:v>吉林</c:v>
                </c:pt>
                <c:pt idx="2">
                  <c:v>通化</c:v>
                </c:pt>
                <c:pt idx="3">
                  <c:v>图们</c:v>
                </c:pt>
                <c:pt idx="4">
                  <c:v>白城</c:v>
                </c:pt>
              </c:strCache>
            </c:strRef>
          </c:cat>
          <c:val>
            <c:numRef>
              <c:f>Sheet1!$B$2:$B$6</c:f>
              <c:numCache>
                <c:formatCode>General</c:formatCode>
                <c:ptCount val="5"/>
                <c:pt idx="0">
                  <c:v>0</c:v>
                </c:pt>
                <c:pt idx="1">
                  <c:v>0</c:v>
                </c:pt>
                <c:pt idx="2">
                  <c:v>1</c:v>
                </c:pt>
                <c:pt idx="3">
                  <c:v>0</c:v>
                </c:pt>
                <c:pt idx="4">
                  <c:v>5</c:v>
                </c:pt>
              </c:numCache>
            </c:numRef>
          </c:val>
        </c:ser>
        <c:ser>
          <c:idx val="1"/>
          <c:order val="1"/>
          <c:tx>
            <c:strRef>
              <c:f>Sheet1!$C$1</c:f>
              <c:strCache>
                <c:ptCount val="1"/>
                <c:pt idx="0">
                  <c:v>三年以下有期徒刑</c:v>
                </c:pt>
              </c:strCache>
            </c:strRef>
          </c:tx>
          <c:invertIfNegative val="0"/>
          <c:cat>
            <c:strRef>
              <c:f>Sheet1!$A$2:$A$6</c:f>
              <c:strCache>
                <c:ptCount val="5"/>
                <c:pt idx="0">
                  <c:v>长春</c:v>
                </c:pt>
                <c:pt idx="1">
                  <c:v>吉林</c:v>
                </c:pt>
                <c:pt idx="2">
                  <c:v>通化</c:v>
                </c:pt>
                <c:pt idx="3">
                  <c:v>图们</c:v>
                </c:pt>
                <c:pt idx="4">
                  <c:v>白城</c:v>
                </c:pt>
              </c:strCache>
            </c:strRef>
          </c:cat>
          <c:val>
            <c:numRef>
              <c:f>Sheet1!$C$2:$C$6</c:f>
              <c:numCache>
                <c:formatCode>General</c:formatCode>
                <c:ptCount val="5"/>
                <c:pt idx="0">
                  <c:v>26</c:v>
                </c:pt>
                <c:pt idx="1">
                  <c:v>12</c:v>
                </c:pt>
                <c:pt idx="2">
                  <c:v>17</c:v>
                </c:pt>
                <c:pt idx="3">
                  <c:v>5</c:v>
                </c:pt>
                <c:pt idx="4">
                  <c:v>13</c:v>
                </c:pt>
              </c:numCache>
            </c:numRef>
          </c:val>
        </c:ser>
        <c:ser>
          <c:idx val="2"/>
          <c:order val="2"/>
          <c:tx>
            <c:strRef>
              <c:f>Sheet1!$D$1</c:f>
              <c:strCache>
                <c:ptCount val="1"/>
                <c:pt idx="0">
                  <c:v>拘役</c:v>
                </c:pt>
              </c:strCache>
            </c:strRef>
          </c:tx>
          <c:invertIfNegative val="0"/>
          <c:cat>
            <c:strRef>
              <c:f>Sheet1!$A$2:$A$6</c:f>
              <c:strCache>
                <c:ptCount val="5"/>
                <c:pt idx="0">
                  <c:v>长春</c:v>
                </c:pt>
                <c:pt idx="1">
                  <c:v>吉林</c:v>
                </c:pt>
                <c:pt idx="2">
                  <c:v>通化</c:v>
                </c:pt>
                <c:pt idx="3">
                  <c:v>图们</c:v>
                </c:pt>
                <c:pt idx="4">
                  <c:v>白城</c:v>
                </c:pt>
              </c:strCache>
            </c:strRef>
          </c:cat>
          <c:val>
            <c:numRef>
              <c:f>Sheet1!$D$2:$D$6</c:f>
              <c:numCache>
                <c:formatCode>General</c:formatCode>
                <c:ptCount val="5"/>
                <c:pt idx="0">
                  <c:v>15</c:v>
                </c:pt>
                <c:pt idx="1">
                  <c:v>7</c:v>
                </c:pt>
                <c:pt idx="2">
                  <c:v>7</c:v>
                </c:pt>
                <c:pt idx="3">
                  <c:v>3</c:v>
                </c:pt>
                <c:pt idx="4">
                  <c:v>6</c:v>
                </c:pt>
              </c:numCache>
            </c:numRef>
          </c:val>
        </c:ser>
        <c:ser>
          <c:idx val="3"/>
          <c:order val="3"/>
          <c:tx>
            <c:strRef>
              <c:f>Sheet1!$E$1</c:f>
              <c:strCache>
                <c:ptCount val="1"/>
                <c:pt idx="0">
                  <c:v>管制</c:v>
                </c:pt>
              </c:strCache>
            </c:strRef>
          </c:tx>
          <c:invertIfNegative val="0"/>
          <c:cat>
            <c:strRef>
              <c:f>Sheet1!$A$2:$A$6</c:f>
              <c:strCache>
                <c:ptCount val="5"/>
                <c:pt idx="0">
                  <c:v>长春</c:v>
                </c:pt>
                <c:pt idx="1">
                  <c:v>吉林</c:v>
                </c:pt>
                <c:pt idx="2">
                  <c:v>通化</c:v>
                </c:pt>
                <c:pt idx="3">
                  <c:v>图们</c:v>
                </c:pt>
                <c:pt idx="4">
                  <c:v>白城</c:v>
                </c:pt>
              </c:strCache>
            </c:strRef>
          </c:cat>
          <c:val>
            <c:numRef>
              <c:f>Sheet1!$E$2:$E$6</c:f>
              <c:numCache>
                <c:formatCode>General</c:formatCode>
                <c:ptCount val="5"/>
                <c:pt idx="0">
                  <c:v>0</c:v>
                </c:pt>
                <c:pt idx="1">
                  <c:v>0</c:v>
                </c:pt>
                <c:pt idx="2">
                  <c:v>0</c:v>
                </c:pt>
                <c:pt idx="3">
                  <c:v>1</c:v>
                </c:pt>
                <c:pt idx="4">
                  <c:v>6</c:v>
                </c:pt>
              </c:numCache>
            </c:numRef>
          </c:val>
        </c:ser>
        <c:ser>
          <c:idx val="4"/>
          <c:order val="4"/>
          <c:tx>
            <c:strRef>
              <c:f>Sheet1!$F$1</c:f>
              <c:strCache>
                <c:ptCount val="1"/>
                <c:pt idx="0">
                  <c:v>单处罚金</c:v>
                </c:pt>
              </c:strCache>
            </c:strRef>
          </c:tx>
          <c:invertIfNegative val="0"/>
          <c:cat>
            <c:strRef>
              <c:f>Sheet1!$A$2:$A$6</c:f>
              <c:strCache>
                <c:ptCount val="5"/>
                <c:pt idx="0">
                  <c:v>长春</c:v>
                </c:pt>
                <c:pt idx="1">
                  <c:v>吉林</c:v>
                </c:pt>
                <c:pt idx="2">
                  <c:v>通化</c:v>
                </c:pt>
                <c:pt idx="3">
                  <c:v>图们</c:v>
                </c:pt>
                <c:pt idx="4">
                  <c:v>白城</c:v>
                </c:pt>
              </c:strCache>
            </c:strRef>
          </c:cat>
          <c:val>
            <c:numRef>
              <c:f>Sheet1!$F$2:$F$6</c:f>
              <c:numCache>
                <c:formatCode>General</c:formatCode>
                <c:ptCount val="5"/>
                <c:pt idx="0">
                  <c:v>9</c:v>
                </c:pt>
                <c:pt idx="1">
                  <c:v>67</c:v>
                </c:pt>
                <c:pt idx="2">
                  <c:v>27</c:v>
                </c:pt>
                <c:pt idx="3">
                  <c:v>2</c:v>
                </c:pt>
                <c:pt idx="4">
                  <c:v>3</c:v>
                </c:pt>
              </c:numCache>
            </c:numRef>
          </c:val>
        </c:ser>
        <c:dLbls>
          <c:showLegendKey val="0"/>
          <c:showVal val="1"/>
          <c:showCatName val="0"/>
          <c:showSerName val="0"/>
          <c:showPercent val="0"/>
          <c:showBubbleSize val="0"/>
        </c:dLbls>
        <c:gapWidth val="75"/>
        <c:axId val="86026880"/>
        <c:axId val="92733824"/>
      </c:barChart>
      <c:catAx>
        <c:axId val="86026880"/>
        <c:scaling>
          <c:orientation val="minMax"/>
        </c:scaling>
        <c:delete val="0"/>
        <c:axPos val="l"/>
        <c:majorTickMark val="none"/>
        <c:minorTickMark val="none"/>
        <c:tickLblPos val="nextTo"/>
        <c:crossAx val="92733824"/>
        <c:crosses val="autoZero"/>
        <c:auto val="1"/>
        <c:lblAlgn val="ctr"/>
        <c:lblOffset val="100"/>
        <c:noMultiLvlLbl val="0"/>
      </c:catAx>
      <c:valAx>
        <c:axId val="92733824"/>
        <c:scaling>
          <c:orientation val="minMax"/>
        </c:scaling>
        <c:delete val="0"/>
        <c:axPos val="b"/>
        <c:numFmt formatCode="General" sourceLinked="1"/>
        <c:majorTickMark val="none"/>
        <c:minorTickMark val="none"/>
        <c:tickLblPos val="nextTo"/>
        <c:crossAx val="86026880"/>
        <c:crosses val="autoZero"/>
        <c:crossBetween val="between"/>
      </c:valAx>
    </c:plotArea>
    <c:legend>
      <c:legendPos val="b"/>
      <c:layout>
        <c:manualLayout>
          <c:xMode val="edge"/>
          <c:yMode val="edge"/>
          <c:x val="7.411921885215611E-2"/>
          <c:y val="0.93150411596277738"/>
          <c:w val="0.87709276117436996"/>
          <c:h val="6.8495884037222621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1360</Words>
  <Characters>7754</Characters>
  <Application>Microsoft Office Word</Application>
  <DocSecurity>0</DocSecurity>
  <Lines>64</Lines>
  <Paragraphs>18</Paragraphs>
  <ScaleCrop>false</ScaleCrop>
  <Company>Sky123.Org</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qky</cp:lastModifiedBy>
  <cp:revision>12</cp:revision>
  <dcterms:created xsi:type="dcterms:W3CDTF">2017-07-17T03:22:00Z</dcterms:created>
  <dcterms:modified xsi:type="dcterms:W3CDTF">2018-08-21T01:07:00Z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