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C3D69B" w:themeColor="accent3" w:themeTint="99"/>
  <w:body>
    <w:p>
      <w:pPr>
        <w:spacing w:line="560" w:lineRule="atLeast"/>
        <w:rPr>
          <w:rFonts w:ascii="方正小标宋简体" w:eastAsia="方正小标宋简体"/>
          <w:kern w:val="0"/>
          <w:sz w:val="32"/>
          <w:szCs w:val="32"/>
        </w:rPr>
      </w:pPr>
    </w:p>
    <w:p>
      <w:pPr>
        <w:spacing w:line="560" w:lineRule="atLeast"/>
        <w:jc w:val="center"/>
        <w:rPr>
          <w:rFonts w:ascii="方正小标宋简体" w:eastAsia="方正小标宋简体"/>
          <w:kern w:val="0"/>
          <w:sz w:val="32"/>
          <w:szCs w:val="32"/>
        </w:rPr>
      </w:pPr>
    </w:p>
    <w:p>
      <w:pPr>
        <w:spacing w:line="560" w:lineRule="atLeast"/>
        <w:jc w:val="center"/>
        <w:rPr>
          <w:rFonts w:ascii="方正小标宋简体" w:eastAsia="方正小标宋简体"/>
          <w:kern w:val="0"/>
          <w:sz w:val="44"/>
          <w:szCs w:val="44"/>
        </w:rPr>
      </w:pPr>
      <w:r>
        <w:rPr>
          <w:rFonts w:hint="eastAsia" w:ascii="方正小标宋简体" w:eastAsia="方正小标宋简体"/>
          <w:kern w:val="0"/>
          <w:sz w:val="44"/>
          <w:szCs w:val="44"/>
        </w:rPr>
        <w:t>通化铁路运输法院</w:t>
      </w:r>
    </w:p>
    <w:p>
      <w:pPr>
        <w:spacing w:after="480" w:afterLines="200" w:line="560" w:lineRule="atLeast"/>
        <w:jc w:val="center"/>
        <w:rPr>
          <w:rFonts w:ascii="方正小标宋简体" w:eastAsia="方正小标宋简体"/>
          <w:kern w:val="0"/>
          <w:sz w:val="44"/>
          <w:szCs w:val="44"/>
        </w:rPr>
      </w:pPr>
      <w:r>
        <w:rPr>
          <w:rFonts w:hint="eastAsia" w:ascii="方正小标宋简体" w:eastAsia="方正小标宋简体"/>
          <w:kern w:val="0"/>
          <w:sz w:val="44"/>
          <w:szCs w:val="44"/>
        </w:rPr>
        <w:t>行政判决书</w:t>
      </w:r>
    </w:p>
    <w:p>
      <w:pPr>
        <w:spacing w:after="240" w:afterLines="100" w:line="560" w:lineRule="atLeast"/>
        <w:ind w:right="630" w:rightChars="300"/>
        <w:jc w:val="right"/>
        <w:rPr>
          <w:rFonts w:eastAsia="仿宋_GB2312"/>
          <w:bCs/>
          <w:kern w:val="0"/>
          <w:sz w:val="32"/>
        </w:rPr>
      </w:pPr>
      <w:r>
        <w:rPr>
          <w:rFonts w:hint="eastAsia" w:eastAsia="仿宋_GB2312"/>
          <w:bCs/>
          <w:kern w:val="0"/>
          <w:sz w:val="32"/>
        </w:rPr>
        <w:t>（2019）吉7103行初41号</w:t>
      </w:r>
    </w:p>
    <w:p>
      <w:pPr>
        <w:snapToGrid w:val="0"/>
        <w:spacing w:line="560" w:lineRule="atLeast"/>
        <w:ind w:firstLine="640" w:firstLineChars="200"/>
        <w:rPr>
          <w:rFonts w:eastAsia="仿宋_GB2312"/>
          <w:bCs/>
          <w:kern w:val="0"/>
          <w:sz w:val="32"/>
          <w:szCs w:val="22"/>
        </w:rPr>
      </w:pPr>
      <w:r>
        <w:rPr>
          <w:rFonts w:hint="eastAsia" w:eastAsia="仿宋_GB2312"/>
          <w:bCs/>
          <w:kern w:val="0"/>
          <w:sz w:val="32"/>
          <w:szCs w:val="22"/>
        </w:rPr>
        <w:t>原告刘臣，男，汉族， 1964年5月32日出生，通化钢铁公司焦化厂工人，住吉林省通化市二道江区东通化街交通委三组。</w:t>
      </w:r>
    </w:p>
    <w:p>
      <w:pPr>
        <w:snapToGrid w:val="0"/>
        <w:spacing w:line="560" w:lineRule="atLeast"/>
        <w:ind w:firstLine="640" w:firstLineChars="200"/>
        <w:rPr>
          <w:rFonts w:eastAsia="仿宋_GB2312"/>
          <w:bCs/>
          <w:kern w:val="0"/>
          <w:sz w:val="32"/>
          <w:szCs w:val="22"/>
        </w:rPr>
      </w:pPr>
      <w:r>
        <w:rPr>
          <w:rFonts w:hint="eastAsia" w:eastAsia="仿宋_GB2312"/>
          <w:bCs/>
          <w:kern w:val="0"/>
          <w:sz w:val="32"/>
          <w:szCs w:val="22"/>
        </w:rPr>
        <w:t>被告通化市人力资源和社会保障局，住所地吉林省通化市东昌区滨江西路3169号。</w:t>
      </w:r>
    </w:p>
    <w:p>
      <w:pPr>
        <w:snapToGrid w:val="0"/>
        <w:spacing w:line="560" w:lineRule="atLeast"/>
        <w:ind w:firstLine="640" w:firstLineChars="200"/>
        <w:rPr>
          <w:rFonts w:eastAsia="仿宋_GB2312"/>
          <w:bCs/>
          <w:kern w:val="0"/>
          <w:sz w:val="32"/>
          <w:szCs w:val="22"/>
        </w:rPr>
      </w:pPr>
      <w:r>
        <w:rPr>
          <w:rFonts w:hint="eastAsia" w:eastAsia="仿宋_GB2312"/>
          <w:bCs/>
          <w:kern w:val="0"/>
          <w:sz w:val="32"/>
          <w:szCs w:val="22"/>
        </w:rPr>
        <w:t>法定代表人陈楠，局长。</w:t>
      </w:r>
    </w:p>
    <w:p>
      <w:pPr>
        <w:snapToGrid w:val="0"/>
        <w:spacing w:line="560" w:lineRule="atLeast"/>
        <w:ind w:firstLine="640" w:firstLineChars="200"/>
        <w:rPr>
          <w:rFonts w:eastAsia="仿宋_GB2312"/>
          <w:bCs/>
          <w:kern w:val="0"/>
          <w:sz w:val="32"/>
          <w:szCs w:val="22"/>
        </w:rPr>
      </w:pPr>
      <w:r>
        <w:rPr>
          <w:rFonts w:hint="eastAsia" w:eastAsia="仿宋_GB2312"/>
          <w:bCs/>
          <w:kern w:val="0"/>
          <w:sz w:val="32"/>
          <w:szCs w:val="22"/>
        </w:rPr>
        <w:t>委托代理人于波，该局行政审批办主任。</w:t>
      </w:r>
    </w:p>
    <w:p>
      <w:pPr>
        <w:snapToGrid w:val="0"/>
        <w:spacing w:line="560" w:lineRule="atLeast"/>
        <w:ind w:firstLine="640" w:firstLineChars="200"/>
        <w:rPr>
          <w:rFonts w:eastAsia="仿宋_GB2312"/>
          <w:bCs/>
          <w:kern w:val="0"/>
          <w:sz w:val="32"/>
        </w:rPr>
      </w:pPr>
      <w:r>
        <w:rPr>
          <w:rFonts w:hint="eastAsia" w:eastAsia="仿宋_GB2312"/>
          <w:bCs/>
          <w:kern w:val="0"/>
          <w:sz w:val="32"/>
        </w:rPr>
        <w:t>原告刘臣不服被告通化市人力资源和社会保障局（以下简称通化市人社局）</w:t>
      </w:r>
      <w:r>
        <w:rPr>
          <w:rFonts w:hint="eastAsia" w:eastAsia="仿宋_GB2312"/>
          <w:bCs/>
          <w:kern w:val="0"/>
          <w:sz w:val="32"/>
          <w:lang w:eastAsia="zh-CN"/>
        </w:rPr>
        <w:t>对</w:t>
      </w:r>
      <w:r>
        <w:rPr>
          <w:rFonts w:hint="eastAsia" w:eastAsia="仿宋_GB2312"/>
          <w:bCs/>
          <w:kern w:val="0"/>
          <w:sz w:val="32"/>
        </w:rPr>
        <w:t>参加工作时间的核定，于2019年7月18日向本院提起行政诉讼。本院于同日立案后，于次日向被告送达了起诉状副本及应诉通知书。本院依法适用简易程序独任审理，于2019年8月6日公开开庭审理了本案。原告刘臣、被告通化市人社局委托代理人于波到庭参加了诉讼。本案现已审理终结。</w:t>
      </w:r>
    </w:p>
    <w:p>
      <w:pPr>
        <w:snapToGrid w:val="0"/>
        <w:spacing w:line="560" w:lineRule="atLeast"/>
        <w:ind w:firstLine="640" w:firstLineChars="200"/>
        <w:rPr>
          <w:rFonts w:eastAsia="仿宋_GB2312"/>
          <w:bCs/>
          <w:kern w:val="0"/>
          <w:sz w:val="32"/>
        </w:rPr>
      </w:pPr>
      <w:r>
        <w:rPr>
          <w:rFonts w:hint="eastAsia" w:eastAsia="仿宋_GB2312"/>
          <w:bCs/>
          <w:kern w:val="0"/>
          <w:sz w:val="32"/>
        </w:rPr>
        <w:t>被告通化市人社局于2019年7月5日对原告刘臣作出了《吉林省企业职工基本养老保险退休资格审核表》，核定原告参加工作时间是1988年12月。</w:t>
      </w:r>
    </w:p>
    <w:p>
      <w:pPr>
        <w:snapToGrid w:val="0"/>
        <w:spacing w:line="560" w:lineRule="atLeast"/>
        <w:ind w:firstLine="640" w:firstLineChars="200"/>
        <w:rPr>
          <w:rFonts w:eastAsia="仿宋_GB2312"/>
          <w:bCs/>
          <w:kern w:val="0"/>
          <w:sz w:val="32"/>
        </w:rPr>
      </w:pPr>
      <w:bookmarkStart w:id="0" w:name="CAS0010000823983CTM"/>
      <w:r>
        <w:rPr>
          <w:rFonts w:hint="eastAsia" w:eastAsia="仿宋_GB2312"/>
          <w:bCs/>
          <w:kern w:val="0"/>
          <w:sz w:val="32"/>
        </w:rPr>
        <w:t>原告刘臣诉称，原告于1983年2月开始至1988年2月，一直在通钢企业公司（以下简称通钢企业公司）冶金原料加工厂任工人，有1983年2月至1988年2月通钢企业公司工资发放明细表为证， 1988年12月至今又在通化钢铁公司焦化厂工作。现原告已到退休年龄，但因原告单位通钢企业公司于2004年发大水，将单位所有档案丢失，无法找到原始档案。原告于2019年7月5日到被告处办理养老保险退休审核时，被告以原告未能出具1983年2月开始至1988年2月在通钢企业公司工作的原始档案为由，拒不为原告办理，其行为严重侵害了原告的合法权益，原告为维护自己合法权益，提起诉讼，请求判令撤销被告对其参加工作时间的核定，重新作出审核。</w:t>
      </w:r>
    </w:p>
    <w:bookmarkEnd w:id="0"/>
    <w:p>
      <w:pPr>
        <w:snapToGrid w:val="0"/>
        <w:spacing w:line="560" w:lineRule="atLeast"/>
        <w:ind w:firstLine="640" w:firstLineChars="200"/>
        <w:rPr>
          <w:rFonts w:eastAsia="仿宋_GB2312"/>
          <w:bCs/>
          <w:kern w:val="0"/>
          <w:sz w:val="32"/>
          <w:szCs w:val="22"/>
        </w:rPr>
      </w:pPr>
      <w:r>
        <w:rPr>
          <w:rFonts w:hint="eastAsia" w:eastAsia="仿宋_GB2312"/>
          <w:bCs/>
          <w:kern w:val="0"/>
          <w:sz w:val="32"/>
          <w:szCs w:val="22"/>
        </w:rPr>
        <w:t>原告刘臣向本院提交了以下证据：</w:t>
      </w:r>
      <w:bookmarkStart w:id="1" w:name="CAS0010002406853CTM"/>
      <w:r>
        <w:rPr>
          <w:rFonts w:hint="eastAsia" w:eastAsia="仿宋_GB2312"/>
          <w:bCs/>
          <w:kern w:val="0"/>
          <w:sz w:val="32"/>
          <w:szCs w:val="22"/>
        </w:rPr>
        <w:t>1.《吉林省企业职工基本养老保险退休资格审核表》</w:t>
      </w:r>
      <w:bookmarkEnd w:id="1"/>
      <w:bookmarkStart w:id="2" w:name="CAS0010002416073CTM"/>
      <w:r>
        <w:rPr>
          <w:rFonts w:hint="eastAsia" w:eastAsia="仿宋_GB2312"/>
          <w:bCs/>
          <w:kern w:val="0"/>
          <w:sz w:val="32"/>
          <w:szCs w:val="22"/>
        </w:rPr>
        <w:t>，证明通化市人社局核定刘臣参加工作的时间是19</w:t>
      </w:r>
      <w:bookmarkEnd w:id="2"/>
      <w:r>
        <w:rPr>
          <w:rFonts w:hint="eastAsia" w:eastAsia="仿宋_GB2312"/>
          <w:bCs/>
          <w:kern w:val="0"/>
          <w:sz w:val="32"/>
          <w:szCs w:val="22"/>
        </w:rPr>
        <w:t>88年12月。2.通钢企业公司工资发放明细表，证明1983年2月至1988年2月刘臣一直在通钢企业公司工作。3.证人马景全证实，刘臣原系通钢企业公司</w:t>
      </w:r>
      <w:r>
        <w:rPr>
          <w:rFonts w:hint="eastAsia" w:eastAsia="仿宋_GB2312"/>
          <w:bCs/>
          <w:kern w:val="0"/>
          <w:sz w:val="32"/>
          <w:szCs w:val="22"/>
          <w:lang w:eastAsia="zh-CN"/>
        </w:rPr>
        <w:t>小集体</w:t>
      </w:r>
      <w:r>
        <w:rPr>
          <w:rFonts w:hint="eastAsia" w:eastAsia="仿宋_GB2312"/>
          <w:bCs/>
          <w:kern w:val="0"/>
          <w:sz w:val="32"/>
          <w:szCs w:val="22"/>
        </w:rPr>
        <w:t>职工，1983年至1988年期间在该厂工作，任工人职务。厂子于2004年发大水，档案室内所有档案淹没丢失。</w:t>
      </w:r>
    </w:p>
    <w:p>
      <w:pPr>
        <w:snapToGrid w:val="0"/>
        <w:spacing w:line="560" w:lineRule="atLeast"/>
        <w:ind w:firstLine="640" w:firstLineChars="200"/>
        <w:rPr>
          <w:rFonts w:eastAsia="仿宋_GB2312"/>
          <w:bCs/>
          <w:kern w:val="0"/>
          <w:sz w:val="32"/>
          <w:szCs w:val="22"/>
        </w:rPr>
      </w:pPr>
      <w:r>
        <w:rPr>
          <w:rFonts w:hint="eastAsia" w:eastAsia="仿宋_GB2312"/>
          <w:bCs/>
          <w:kern w:val="0"/>
          <w:sz w:val="32"/>
          <w:szCs w:val="22"/>
        </w:rPr>
        <w:t>被告通化市人社局辩称，原告原始档案记载：1988年12月1日办理招工手续，原告要求认定参加工作时间为1983年2月的诉求无原始资料支持，所以被告的行政行为事实清楚，程序合法，适用法律正确。</w:t>
      </w:r>
    </w:p>
    <w:p>
      <w:pPr>
        <w:snapToGrid w:val="0"/>
        <w:spacing w:line="560" w:lineRule="atLeast"/>
        <w:ind w:firstLine="640" w:firstLineChars="200"/>
        <w:rPr>
          <w:rFonts w:eastAsia="仿宋_GB2312"/>
          <w:bCs/>
          <w:kern w:val="0"/>
          <w:sz w:val="32"/>
        </w:rPr>
      </w:pPr>
      <w:r>
        <w:rPr>
          <w:rFonts w:hint="eastAsia" w:eastAsia="仿宋_GB2312"/>
          <w:bCs/>
          <w:kern w:val="0"/>
          <w:sz w:val="32"/>
        </w:rPr>
        <w:t>被告通化市人社局向本院提交了以下证据和依据：</w:t>
      </w:r>
      <w:bookmarkStart w:id="3" w:name="CAS0010001280308CTM"/>
      <w:r>
        <w:rPr>
          <w:rFonts w:hint="eastAsia" w:eastAsia="仿宋_GB2312"/>
          <w:bCs/>
          <w:kern w:val="0"/>
          <w:sz w:val="32"/>
        </w:rPr>
        <w:t>1</w:t>
      </w:r>
      <w:r>
        <w:rPr>
          <w:rFonts w:eastAsia="仿宋_GB2312"/>
          <w:bCs/>
          <w:kern w:val="0"/>
          <w:sz w:val="32"/>
        </w:rPr>
        <w:t>.</w:t>
      </w:r>
      <w:r>
        <w:rPr>
          <w:rFonts w:hint="eastAsia" w:eastAsia="仿宋_GB2312"/>
          <w:bCs/>
          <w:kern w:val="0"/>
          <w:sz w:val="32"/>
        </w:rPr>
        <w:t>刘臣档案三份，即《国营企业劳动合同制工人录用通知书》《国营企业劳动合同制工人录用审批表》《工人工种分配变动审批表》，证明刘臣于1988年12月被通钢焦化厂招工，并以此核定原告参加工作的时间。</w:t>
      </w:r>
      <w:bookmarkEnd w:id="3"/>
      <w:r>
        <w:rPr>
          <w:rFonts w:hint="eastAsia" w:eastAsia="仿宋_GB2312"/>
          <w:bCs/>
          <w:kern w:val="0"/>
          <w:sz w:val="32"/>
        </w:rPr>
        <w:t>2</w:t>
      </w:r>
      <w:r>
        <w:rPr>
          <w:rFonts w:eastAsia="仿宋_GB2312"/>
          <w:bCs/>
          <w:kern w:val="0"/>
          <w:sz w:val="32"/>
        </w:rPr>
        <w:t>.</w:t>
      </w:r>
      <w:r>
        <w:rPr>
          <w:rFonts w:hint="eastAsia" w:eastAsia="仿宋_GB2312"/>
          <w:bCs/>
          <w:kern w:val="0"/>
          <w:sz w:val="32"/>
        </w:rPr>
        <w:t>吉林省人力资源和社会保障厅《关于规范参加城镇职工基本养老保险视同缴费年限工龄认定的通知》（吉人社办字</w:t>
      </w:r>
      <w:r>
        <w:rPr>
          <w:rFonts w:hint="eastAsia" w:ascii="仿宋_GB2312" w:eastAsia="仿宋_GB2312"/>
          <w:bCs/>
          <w:kern w:val="0"/>
          <w:sz w:val="32"/>
        </w:rPr>
        <w:t>〔2014〕</w:t>
      </w:r>
      <w:r>
        <w:rPr>
          <w:rFonts w:hint="eastAsia" w:eastAsia="仿宋_GB2312"/>
          <w:bCs/>
          <w:kern w:val="0"/>
          <w:sz w:val="32"/>
        </w:rPr>
        <w:t>84号）</w:t>
      </w:r>
      <w:bookmarkStart w:id="4" w:name="CAS0010002175672CTM"/>
      <w:r>
        <w:rPr>
          <w:rFonts w:hint="eastAsia" w:eastAsia="仿宋_GB2312"/>
          <w:bCs/>
          <w:kern w:val="0"/>
          <w:sz w:val="32"/>
        </w:rPr>
        <w:t>和</w:t>
      </w:r>
      <w:bookmarkStart w:id="5" w:name="_Hlk12354557"/>
      <w:r>
        <w:rPr>
          <w:rFonts w:hint="eastAsia" w:eastAsia="仿宋_GB2312"/>
          <w:bCs/>
          <w:kern w:val="0"/>
          <w:sz w:val="32"/>
        </w:rPr>
        <w:t>吉林省劳动人事厅《关于工龄计算问题的函》</w:t>
      </w:r>
      <w:bookmarkEnd w:id="4"/>
      <w:r>
        <w:rPr>
          <w:rFonts w:hint="eastAsia" w:eastAsia="仿宋_GB2312"/>
          <w:bCs/>
          <w:kern w:val="0"/>
          <w:sz w:val="32"/>
        </w:rPr>
        <w:t>（吉劳人险字</w:t>
      </w:r>
      <w:bookmarkEnd w:id="5"/>
      <w:r>
        <w:rPr>
          <w:rFonts w:hint="eastAsia" w:ascii="仿宋_GB2312" w:eastAsia="仿宋_GB2312"/>
          <w:bCs/>
          <w:kern w:val="0"/>
          <w:sz w:val="32"/>
        </w:rPr>
        <w:t>〔1985〕4</w:t>
      </w:r>
      <w:r>
        <w:rPr>
          <w:rFonts w:hint="eastAsia" w:eastAsia="仿宋_GB2312"/>
          <w:bCs/>
          <w:kern w:val="0"/>
          <w:sz w:val="32"/>
        </w:rPr>
        <w:t>号），证明被告作出的行政行为有规范性文件为依据，合法有效。</w:t>
      </w:r>
    </w:p>
    <w:p>
      <w:pPr>
        <w:snapToGrid w:val="0"/>
        <w:spacing w:line="560" w:lineRule="atLeast"/>
        <w:ind w:firstLine="640" w:firstLineChars="200"/>
        <w:rPr>
          <w:rFonts w:eastAsia="仿宋_GB2312"/>
          <w:bCs/>
          <w:kern w:val="0"/>
          <w:sz w:val="32"/>
        </w:rPr>
      </w:pPr>
      <w:r>
        <w:rPr>
          <w:rFonts w:hint="eastAsia" w:eastAsia="仿宋_GB2312"/>
          <w:bCs/>
          <w:kern w:val="0"/>
          <w:sz w:val="32"/>
        </w:rPr>
        <w:t>经庭审质证，原、被告对上述证据的真实性、合法性均无异议。本院对上述证据认证如下：原告提交的证据符合形式要件，来源合法，证明的内容真实有效，能够相互印证形成完整的证据链条，充分证明原告刘臣于1983年2月至1988年2月一直在通钢企业公司工作的基础事实，且原告举证事实符合被告所依据的规范性文件规定的认定标准，双方的证据并无冲突，故本院对以上证据，予以采信。</w:t>
      </w:r>
    </w:p>
    <w:p>
      <w:pPr>
        <w:snapToGrid w:val="0"/>
        <w:spacing w:line="560" w:lineRule="atLeast"/>
        <w:ind w:firstLine="640" w:firstLineChars="200"/>
        <w:rPr>
          <w:rFonts w:eastAsia="仿宋_GB2312"/>
          <w:bCs/>
          <w:kern w:val="0"/>
          <w:sz w:val="32"/>
        </w:rPr>
      </w:pPr>
      <w:r>
        <w:rPr>
          <w:rFonts w:hint="eastAsia" w:eastAsia="仿宋_GB2312"/>
          <w:bCs/>
          <w:kern w:val="0"/>
          <w:sz w:val="32"/>
        </w:rPr>
        <w:t>经审理查明，原告于1983年2月被通钢企业公司招工，从事冶金加工工作，直到1988年12月被通化钢铁公司焦化厂录用为国营企业劳动合同制工人</w:t>
      </w:r>
      <w:r>
        <w:rPr>
          <w:rFonts w:hint="eastAsia" w:eastAsia="仿宋_GB2312"/>
          <w:bCs/>
          <w:kern w:val="0"/>
          <w:sz w:val="32"/>
          <w:szCs w:val="22"/>
        </w:rPr>
        <w:t>。2004年因发生水害，通钢企业公司保存的原始档案全部丢失。</w:t>
      </w:r>
      <w:r>
        <w:rPr>
          <w:rFonts w:hint="eastAsia" w:eastAsia="仿宋_GB2312"/>
          <w:bCs/>
          <w:kern w:val="0"/>
          <w:sz w:val="32"/>
        </w:rPr>
        <w:t>2019年7月原告到被告处办理退休手续时，被告以原告无原始资料支持为由，作出了《吉林省企业职工基本养老保险退休资格审核表》，核定原告参加工作时间是1988年12月。原告不服被告对其参加工作时间起点的核定，向本院提起行政诉讼，要求被告重新作出审核。</w:t>
      </w:r>
    </w:p>
    <w:p>
      <w:pPr>
        <w:snapToGrid w:val="0"/>
        <w:spacing w:line="560" w:lineRule="atLeast"/>
        <w:ind w:firstLine="640" w:firstLineChars="200"/>
        <w:rPr>
          <w:rFonts w:eastAsia="仿宋_GB2312"/>
          <w:bCs/>
          <w:kern w:val="0"/>
          <w:sz w:val="32"/>
        </w:rPr>
      </w:pPr>
      <w:r>
        <w:rPr>
          <w:rFonts w:hint="eastAsia" w:eastAsia="仿宋_GB2312"/>
          <w:bCs/>
          <w:kern w:val="0"/>
          <w:sz w:val="32"/>
        </w:rPr>
        <w:t>本院认为，吉林省劳动人事厅《关于工龄计算问题的函》（吉劳人险字</w:t>
      </w:r>
      <w:r>
        <w:rPr>
          <w:rFonts w:hint="eastAsia" w:ascii="仿宋_GB2312" w:eastAsia="仿宋_GB2312"/>
          <w:bCs/>
          <w:kern w:val="0"/>
          <w:sz w:val="32"/>
        </w:rPr>
        <w:t>〔</w:t>
      </w:r>
      <w:r>
        <w:rPr>
          <w:rFonts w:hint="eastAsia" w:eastAsia="仿宋_GB2312"/>
          <w:bCs/>
          <w:kern w:val="0"/>
          <w:sz w:val="32"/>
        </w:rPr>
        <w:t>1985</w:t>
      </w:r>
      <w:r>
        <w:rPr>
          <w:rFonts w:hint="eastAsia" w:ascii="仿宋_GB2312" w:eastAsia="仿宋_GB2312"/>
          <w:bCs/>
          <w:kern w:val="0"/>
          <w:sz w:val="32"/>
        </w:rPr>
        <w:t>〕</w:t>
      </w:r>
      <w:r>
        <w:rPr>
          <w:rFonts w:hint="eastAsia" w:eastAsia="仿宋_GB2312"/>
          <w:bCs/>
          <w:kern w:val="0"/>
          <w:sz w:val="32"/>
          <w:szCs w:val="22"/>
        </w:rPr>
        <w:t>4</w:t>
      </w:r>
      <w:r>
        <w:rPr>
          <w:rFonts w:hint="eastAsia" w:eastAsia="仿宋_GB2312"/>
          <w:bCs/>
          <w:kern w:val="0"/>
          <w:sz w:val="32"/>
        </w:rPr>
        <w:t>号）规定：“原在县以下集体所有制单位的职工，后被招收到全民或县以上集体所有制单位工作，在被县以上集体所有制单位招工时，有正式录用手续的，其在县以下集体所有制单位工作的时间和到全民或县以上集体所有制单位工作的时间，可以合并计算为连续工龄</w:t>
      </w:r>
      <w:r>
        <w:rPr>
          <w:rFonts w:hint="eastAsia" w:eastAsia="仿宋_GB2312"/>
          <w:bCs/>
          <w:kern w:val="0"/>
          <w:sz w:val="32"/>
          <w:lang w:eastAsia="zh-CN"/>
        </w:rPr>
        <w:t>。</w:t>
      </w:r>
      <w:r>
        <w:rPr>
          <w:rFonts w:hint="eastAsia" w:eastAsia="仿宋_GB2312"/>
          <w:bCs/>
          <w:kern w:val="0"/>
          <w:sz w:val="32"/>
        </w:rPr>
        <w:t>”本案中，原告刘臣的原始档案（复印件）中通钢企业公司工资发放明细表清晰载明原告刘臣于1983年2月至1988年2月在通钢企业公司发放工资，与证人证言</w:t>
      </w:r>
      <w:r>
        <w:rPr>
          <w:rFonts w:hint="eastAsia" w:eastAsia="仿宋_GB2312"/>
          <w:bCs/>
          <w:kern w:val="0"/>
          <w:sz w:val="32"/>
          <w:lang w:eastAsia="zh-CN"/>
        </w:rPr>
        <w:t>证实</w:t>
      </w:r>
      <w:r>
        <w:rPr>
          <w:rFonts w:hint="eastAsia" w:eastAsia="仿宋_GB2312"/>
          <w:bCs/>
          <w:kern w:val="0"/>
          <w:sz w:val="32"/>
        </w:rPr>
        <w:t>的刘臣于1983年2月至1988年在通钢企业公司工作的事实相吻合，被告应按照规定，</w:t>
      </w:r>
      <w:r>
        <w:rPr>
          <w:rFonts w:hint="eastAsia" w:eastAsia="仿宋_GB2312"/>
          <w:bCs/>
          <w:kern w:val="0"/>
          <w:sz w:val="32"/>
          <w:szCs w:val="22"/>
        </w:rPr>
        <w:t>为原告核定连续工龄。被告在没有相反的证据证明的情形下，以</w:t>
      </w:r>
      <w:bookmarkStart w:id="6" w:name="_GoBack"/>
      <w:bookmarkEnd w:id="6"/>
      <w:r>
        <w:rPr>
          <w:rFonts w:hint="eastAsia" w:eastAsia="仿宋_GB2312"/>
          <w:bCs/>
          <w:kern w:val="0"/>
          <w:sz w:val="32"/>
          <w:szCs w:val="22"/>
        </w:rPr>
        <w:t>无原始材料支持为由不予将原告在通钢企业公司工作时间一并计算为连续工龄，明显不当。故</w:t>
      </w:r>
      <w:r>
        <w:rPr>
          <w:rFonts w:hint="eastAsia" w:eastAsia="仿宋_GB2312"/>
          <w:bCs/>
          <w:kern w:val="0"/>
          <w:sz w:val="32"/>
        </w:rPr>
        <w:t>对原告的诉讼请求，本院予以支持。综上，依照《中华人民共和国行政诉讼法》第七十条的规定，判决如下：</w:t>
      </w:r>
    </w:p>
    <w:p>
      <w:pPr>
        <w:snapToGrid w:val="0"/>
        <w:spacing w:line="560" w:lineRule="atLeast"/>
        <w:ind w:firstLine="640" w:firstLineChars="200"/>
        <w:rPr>
          <w:rFonts w:eastAsia="仿宋_GB2312"/>
          <w:bCs/>
          <w:kern w:val="0"/>
          <w:sz w:val="32"/>
        </w:rPr>
      </w:pPr>
      <w:r>
        <w:rPr>
          <w:rFonts w:hint="eastAsia" w:eastAsia="仿宋_GB2312"/>
          <w:bCs/>
          <w:kern w:val="0"/>
          <w:sz w:val="32"/>
        </w:rPr>
        <w:t>一、撤销被告通化市人力资源和社会保障局于2019年7月5日对原告刘臣作出的《吉林省企业职工基本养老保险退休资格审核表》。</w:t>
      </w:r>
    </w:p>
    <w:p>
      <w:pPr>
        <w:snapToGrid w:val="0"/>
        <w:spacing w:line="560" w:lineRule="atLeast"/>
        <w:ind w:firstLine="640" w:firstLineChars="200"/>
        <w:rPr>
          <w:rFonts w:eastAsia="仿宋_GB2312"/>
          <w:bCs/>
          <w:kern w:val="0"/>
          <w:sz w:val="32"/>
        </w:rPr>
      </w:pPr>
      <w:r>
        <w:rPr>
          <w:rFonts w:hint="eastAsia" w:eastAsia="仿宋_GB2312"/>
          <w:bCs/>
          <w:kern w:val="0"/>
          <w:sz w:val="32"/>
        </w:rPr>
        <w:t>二、被告通化市人力资源和社会保障局于本判决生效后30日内对原告刘臣重新作出退休工龄审核。</w:t>
      </w:r>
    </w:p>
    <w:p>
      <w:pPr>
        <w:snapToGrid w:val="0"/>
        <w:spacing w:line="560" w:lineRule="atLeast"/>
        <w:ind w:firstLine="640" w:firstLineChars="200"/>
        <w:rPr>
          <w:rFonts w:eastAsia="仿宋_GB2312"/>
          <w:bCs/>
          <w:kern w:val="0"/>
          <w:sz w:val="32"/>
        </w:rPr>
      </w:pPr>
      <w:r>
        <w:rPr>
          <w:rFonts w:hint="eastAsia" w:eastAsia="仿宋_GB2312"/>
          <w:bCs/>
          <w:kern w:val="0"/>
          <w:sz w:val="32"/>
        </w:rPr>
        <w:t>案件受理费25元，由被告通化市人力资源和社会保障局负担。</w:t>
      </w:r>
    </w:p>
    <w:p>
      <w:pPr>
        <w:snapToGrid w:val="0"/>
        <w:spacing w:line="560" w:lineRule="atLeast"/>
        <w:ind w:firstLine="640" w:firstLineChars="200"/>
        <w:rPr>
          <w:rFonts w:eastAsia="仿宋_GB2312"/>
          <w:bCs/>
          <w:kern w:val="0"/>
          <w:sz w:val="32"/>
        </w:rPr>
      </w:pPr>
      <w:r>
        <w:rPr>
          <w:rFonts w:hint="eastAsia" w:eastAsia="仿宋_GB2312"/>
          <w:bCs/>
          <w:kern w:val="0"/>
          <w:sz w:val="32"/>
        </w:rPr>
        <w:t>如不服本判决，可以在判决书送达之日起十五日内，向本院递交上诉状，并按对方当事人的人数提出副本，上诉于吉林省长春铁路运输中级法院。</w:t>
      </w:r>
    </w:p>
    <w:p>
      <w:pPr>
        <w:snapToGrid w:val="0"/>
        <w:spacing w:line="560" w:lineRule="atLeast"/>
        <w:ind w:firstLine="640" w:firstLineChars="200"/>
        <w:rPr>
          <w:rFonts w:eastAsia="仿宋_GB2312"/>
          <w:bCs/>
          <w:kern w:val="0"/>
          <w:sz w:val="32"/>
        </w:rPr>
      </w:pPr>
    </w:p>
    <w:p>
      <w:pPr>
        <w:snapToGrid w:val="0"/>
        <w:spacing w:line="560" w:lineRule="atLeast"/>
        <w:ind w:firstLine="640" w:firstLineChars="200"/>
        <w:rPr>
          <w:rFonts w:eastAsia="仿宋_GB2312"/>
          <w:bCs/>
          <w:kern w:val="0"/>
          <w:sz w:val="32"/>
        </w:rPr>
      </w:pPr>
    </w:p>
    <w:p>
      <w:pPr>
        <w:snapToGrid w:val="0"/>
        <w:spacing w:line="560" w:lineRule="atLeast"/>
        <w:ind w:firstLine="640" w:firstLineChars="200"/>
        <w:rPr>
          <w:rFonts w:eastAsia="仿宋_GB2312"/>
          <w:bCs/>
          <w:kern w:val="0"/>
          <w:sz w:val="32"/>
        </w:rPr>
      </w:pPr>
    </w:p>
    <w:p>
      <w:pPr>
        <w:snapToGrid w:val="0"/>
        <w:spacing w:line="560" w:lineRule="atLeast"/>
        <w:ind w:firstLine="4320" w:firstLineChars="1350"/>
        <w:rPr>
          <w:rFonts w:eastAsia="仿宋_GB2312"/>
          <w:bCs/>
          <w:kern w:val="0"/>
          <w:sz w:val="32"/>
        </w:rPr>
      </w:pPr>
      <w:r>
        <w:rPr>
          <w:rFonts w:hint="eastAsia" w:eastAsia="仿宋_GB2312"/>
          <w:bCs/>
          <w:kern w:val="0"/>
          <w:sz w:val="32"/>
        </w:rPr>
        <w:t xml:space="preserve">   审　判　员      史艳春</w:t>
      </w:r>
    </w:p>
    <w:p>
      <w:pPr>
        <w:snapToGrid w:val="0"/>
        <w:spacing w:line="560" w:lineRule="atLeast"/>
        <w:rPr>
          <w:rFonts w:eastAsia="仿宋_GB2312"/>
          <w:bCs/>
          <w:kern w:val="0"/>
          <w:sz w:val="32"/>
        </w:rPr>
      </w:pPr>
    </w:p>
    <w:p>
      <w:pPr>
        <w:snapToGrid w:val="0"/>
        <w:spacing w:line="560" w:lineRule="atLeast"/>
        <w:rPr>
          <w:rFonts w:eastAsia="仿宋_GB2312"/>
          <w:bCs/>
          <w:kern w:val="0"/>
          <w:sz w:val="32"/>
        </w:rPr>
      </w:pPr>
    </w:p>
    <w:p>
      <w:pPr>
        <w:snapToGrid w:val="0"/>
        <w:spacing w:line="560" w:lineRule="atLeast"/>
        <w:ind w:firstLine="640" w:firstLineChars="200"/>
        <w:rPr>
          <w:rFonts w:eastAsia="仿宋_GB2312"/>
          <w:bCs/>
          <w:kern w:val="0"/>
          <w:sz w:val="32"/>
        </w:rPr>
      </w:pPr>
      <w:r>
        <w:rPr>
          <w:rFonts w:hint="eastAsia" w:eastAsia="仿宋_GB2312"/>
          <w:bCs/>
          <w:kern w:val="0"/>
          <w:sz w:val="32"/>
        </w:rPr>
        <w:t xml:space="preserve">                            二</w:t>
      </w:r>
      <w:r>
        <w:rPr>
          <w:rFonts w:hint="eastAsia" w:ascii="宋体" w:hAnsi="宋体" w:cs="宋体"/>
          <w:bCs/>
          <w:kern w:val="0"/>
          <w:sz w:val="32"/>
        </w:rPr>
        <w:t>〇</w:t>
      </w:r>
      <w:r>
        <w:rPr>
          <w:rFonts w:hint="eastAsia" w:eastAsia="仿宋_GB2312"/>
          <w:bCs/>
          <w:kern w:val="0"/>
          <w:sz w:val="32"/>
        </w:rPr>
        <w:t>一九年八月六日</w:t>
      </w:r>
    </w:p>
    <w:p>
      <w:pPr>
        <w:snapToGrid w:val="0"/>
        <w:spacing w:line="560" w:lineRule="atLeast"/>
        <w:ind w:firstLine="640" w:firstLineChars="200"/>
        <w:rPr>
          <w:rFonts w:eastAsia="仿宋_GB2312"/>
          <w:bCs/>
          <w:kern w:val="0"/>
          <w:sz w:val="32"/>
        </w:rPr>
      </w:pPr>
    </w:p>
    <w:p>
      <w:pPr>
        <w:snapToGrid w:val="0"/>
        <w:spacing w:line="560" w:lineRule="atLeast"/>
        <w:rPr>
          <w:rFonts w:eastAsia="仿宋_GB2312"/>
          <w:bCs/>
          <w:kern w:val="0"/>
          <w:sz w:val="32"/>
        </w:rPr>
      </w:pPr>
    </w:p>
    <w:p>
      <w:pPr>
        <w:snapToGrid w:val="0"/>
        <w:spacing w:line="560" w:lineRule="atLeast"/>
        <w:rPr>
          <w:rFonts w:eastAsia="仿宋_GB2312"/>
          <w:bCs/>
          <w:kern w:val="0"/>
          <w:sz w:val="32"/>
        </w:rPr>
      </w:pPr>
      <w:r>
        <w:rPr>
          <w:rFonts w:hint="eastAsia" w:eastAsia="仿宋_GB2312"/>
          <w:bCs/>
          <w:kern w:val="0"/>
          <w:sz w:val="32"/>
        </w:rPr>
        <w:t xml:space="preserve">                               法 官 助 理    徐曌天</w:t>
      </w:r>
    </w:p>
    <w:p>
      <w:pPr>
        <w:snapToGrid w:val="0"/>
        <w:spacing w:line="560" w:lineRule="atLeast"/>
        <w:ind w:firstLine="4960" w:firstLineChars="1550"/>
        <w:rPr>
          <w:rFonts w:ascii="仿宋_GB2312" w:hAnsi="仿宋" w:eastAsia="仿宋_GB2312" w:cs="仿宋"/>
          <w:kern w:val="0"/>
          <w:sz w:val="32"/>
          <w:szCs w:val="32"/>
        </w:rPr>
      </w:pPr>
      <w:r>
        <w:rPr>
          <w:rFonts w:hint="eastAsia" w:eastAsia="仿宋_GB2312"/>
          <w:bCs/>
          <w:kern w:val="0"/>
          <w:sz w:val="32"/>
        </w:rPr>
        <w:t>书　记　员     孟  岩</w:t>
      </w:r>
    </w:p>
    <w:p>
      <w:pPr>
        <w:spacing w:line="560" w:lineRule="atLeast"/>
        <w:ind w:right="630" w:rightChars="300" w:firstLine="919"/>
        <w:jc w:val="right"/>
        <w:rPr>
          <w:rFonts w:ascii="仿宋_GB2312" w:hAnsi="仿宋" w:eastAsia="仿宋_GB2312" w:cs="仿宋"/>
          <w:kern w:val="0"/>
          <w:sz w:val="32"/>
          <w:szCs w:val="32"/>
        </w:rPr>
      </w:pPr>
    </w:p>
    <w:sectPr>
      <w:footerReference r:id="rId4" w:type="default"/>
      <w:headerReference r:id="rId3" w:type="even"/>
      <w:footerReference r:id="rId5" w:type="even"/>
      <w:pgSz w:w="11907" w:h="16839"/>
      <w:pgMar w:top="2041" w:right="1134" w:bottom="2041" w:left="1701" w:header="1361" w:footer="1361" w:gutter="0"/>
      <w:cols w:space="425" w:num="1"/>
      <w:docGrid w:linePitch="531" w:charSpace="2845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420" w:rightChars="200"/>
      <w:jc w:val="right"/>
      <w:rPr>
        <w:rFonts w:ascii="宋体" w:hAnsi="宋体" w:eastAsia="宋体"/>
        <w:sz w:val="28"/>
        <w:szCs w:val="28"/>
      </w:rPr>
    </w:pPr>
    <w:r>
      <w:rPr>
        <w:rFonts w:ascii="宋体" w:hAnsi="宋体" w:eastAsia="宋体"/>
        <w:sz w:val="28"/>
        <w:szCs w:val="28"/>
      </w:rPr>
      <w:fldChar w:fldCharType="begin"/>
    </w:r>
    <w:r>
      <w:rPr>
        <w:rStyle w:val="8"/>
        <w:rFonts w:ascii="宋体" w:hAnsi="宋体" w:eastAsia="宋体"/>
        <w:sz w:val="28"/>
        <w:szCs w:val="28"/>
      </w:rPr>
      <w:instrText xml:space="preserve"> PAGE  \* ArabicDash </w:instrText>
    </w:r>
    <w:r>
      <w:rPr>
        <w:rFonts w:ascii="宋体" w:hAnsi="宋体" w:eastAsia="宋体"/>
        <w:sz w:val="28"/>
        <w:szCs w:val="28"/>
      </w:rPr>
      <w:fldChar w:fldCharType="separate"/>
    </w:r>
    <w:r>
      <w:rPr>
        <w:rStyle w:val="8"/>
        <w:rFonts w:ascii="宋体" w:hAnsi="宋体" w:eastAsia="宋体"/>
        <w:sz w:val="28"/>
        <w:szCs w:val="28"/>
      </w:rPr>
      <w:t>- 3 -</w:t>
    </w:r>
    <w:r>
      <w:rPr>
        <w:rFonts w:ascii="宋体" w:hAnsi="宋体" w:eastAsia="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20" w:leftChars="200"/>
      <w:rPr>
        <w:rFonts w:ascii="宋体" w:hAnsi="宋体" w:eastAsia="宋体"/>
        <w:sz w:val="28"/>
        <w:szCs w:val="28"/>
      </w:rPr>
    </w:pPr>
    <w:r>
      <w:rPr>
        <w:rFonts w:ascii="宋体" w:hAnsi="宋体" w:eastAsia="宋体"/>
        <w:sz w:val="28"/>
        <w:szCs w:val="28"/>
      </w:rPr>
      <w:fldChar w:fldCharType="begin"/>
    </w:r>
    <w:r>
      <w:rPr>
        <w:rStyle w:val="8"/>
        <w:rFonts w:ascii="宋体" w:hAnsi="宋体" w:eastAsia="宋体"/>
        <w:sz w:val="28"/>
        <w:szCs w:val="28"/>
      </w:rPr>
      <w:instrText xml:space="preserve"> PAGE  \* ArabicDash </w:instrText>
    </w:r>
    <w:r>
      <w:rPr>
        <w:rFonts w:ascii="宋体" w:hAnsi="宋体" w:eastAsia="宋体"/>
        <w:sz w:val="28"/>
        <w:szCs w:val="28"/>
      </w:rPr>
      <w:fldChar w:fldCharType="separate"/>
    </w:r>
    <w:r>
      <w:rPr>
        <w:rStyle w:val="8"/>
        <w:rFonts w:ascii="宋体" w:hAnsi="宋体" w:eastAsia="宋体"/>
        <w:sz w:val="28"/>
        <w:szCs w:val="28"/>
      </w:rPr>
      <w:t>- 4 -</w:t>
    </w:r>
    <w:r>
      <w:rPr>
        <w:rFonts w:ascii="宋体" w:hAnsi="宋体" w:eastAsia="宋体"/>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isplayBackgroundShape w:val="1"/>
  <w:bordersDoNotSurroundHeader w:val="1"/>
  <w:bordersDoNotSurroundFooter w:val="1"/>
  <w:documentProtection w:enforcement="0"/>
  <w:defaultTabStop w:val="420"/>
  <w:evenAndOddHeaders w:val="1"/>
  <w:drawingGridHorizontalSpacing w:val="349"/>
  <w:drawingGridVerticalSpacing w:val="5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3E1"/>
    <w:rsid w:val="000006D9"/>
    <w:rsid w:val="0000262B"/>
    <w:rsid w:val="000034D8"/>
    <w:rsid w:val="00006020"/>
    <w:rsid w:val="00014872"/>
    <w:rsid w:val="00036098"/>
    <w:rsid w:val="0003628F"/>
    <w:rsid w:val="0006229A"/>
    <w:rsid w:val="00080AB4"/>
    <w:rsid w:val="00085ABA"/>
    <w:rsid w:val="000947E9"/>
    <w:rsid w:val="000A27D3"/>
    <w:rsid w:val="000B4351"/>
    <w:rsid w:val="000F7306"/>
    <w:rsid w:val="00102158"/>
    <w:rsid w:val="00146446"/>
    <w:rsid w:val="001A01C9"/>
    <w:rsid w:val="001A0310"/>
    <w:rsid w:val="001A45E1"/>
    <w:rsid w:val="001B7E34"/>
    <w:rsid w:val="001C597B"/>
    <w:rsid w:val="001D521C"/>
    <w:rsid w:val="001D6E39"/>
    <w:rsid w:val="001E2048"/>
    <w:rsid w:val="002063C0"/>
    <w:rsid w:val="0021174A"/>
    <w:rsid w:val="00216179"/>
    <w:rsid w:val="00223BDB"/>
    <w:rsid w:val="00232997"/>
    <w:rsid w:val="00240ED2"/>
    <w:rsid w:val="00244607"/>
    <w:rsid w:val="002959F5"/>
    <w:rsid w:val="002D13FC"/>
    <w:rsid w:val="002D5232"/>
    <w:rsid w:val="002E062A"/>
    <w:rsid w:val="003050E0"/>
    <w:rsid w:val="00337639"/>
    <w:rsid w:val="00356CAA"/>
    <w:rsid w:val="00356FCF"/>
    <w:rsid w:val="0037208E"/>
    <w:rsid w:val="00383C4A"/>
    <w:rsid w:val="00387061"/>
    <w:rsid w:val="003947F0"/>
    <w:rsid w:val="003A3EB5"/>
    <w:rsid w:val="003A5D99"/>
    <w:rsid w:val="003B107D"/>
    <w:rsid w:val="003C21C7"/>
    <w:rsid w:val="003E53C6"/>
    <w:rsid w:val="003F3F54"/>
    <w:rsid w:val="004043B8"/>
    <w:rsid w:val="00445B5F"/>
    <w:rsid w:val="00453EB8"/>
    <w:rsid w:val="00462426"/>
    <w:rsid w:val="004765CE"/>
    <w:rsid w:val="00480542"/>
    <w:rsid w:val="00487EDC"/>
    <w:rsid w:val="004A26FF"/>
    <w:rsid w:val="004F3A07"/>
    <w:rsid w:val="004F4D67"/>
    <w:rsid w:val="004F4E62"/>
    <w:rsid w:val="005119F8"/>
    <w:rsid w:val="00514787"/>
    <w:rsid w:val="00516791"/>
    <w:rsid w:val="005328E9"/>
    <w:rsid w:val="00535E24"/>
    <w:rsid w:val="00535FD9"/>
    <w:rsid w:val="00550118"/>
    <w:rsid w:val="00565351"/>
    <w:rsid w:val="00571ED7"/>
    <w:rsid w:val="00575D83"/>
    <w:rsid w:val="005761F8"/>
    <w:rsid w:val="00584129"/>
    <w:rsid w:val="00590CB8"/>
    <w:rsid w:val="005B53E1"/>
    <w:rsid w:val="005C3CAF"/>
    <w:rsid w:val="005C5D83"/>
    <w:rsid w:val="00622D7B"/>
    <w:rsid w:val="0063436C"/>
    <w:rsid w:val="00634E14"/>
    <w:rsid w:val="00651D0C"/>
    <w:rsid w:val="00660830"/>
    <w:rsid w:val="0067606F"/>
    <w:rsid w:val="00687B05"/>
    <w:rsid w:val="006A4C5E"/>
    <w:rsid w:val="006A7637"/>
    <w:rsid w:val="006B12C8"/>
    <w:rsid w:val="006B4465"/>
    <w:rsid w:val="006C49BE"/>
    <w:rsid w:val="006C64F2"/>
    <w:rsid w:val="006D2A30"/>
    <w:rsid w:val="006E18DE"/>
    <w:rsid w:val="006E28F1"/>
    <w:rsid w:val="006F41F0"/>
    <w:rsid w:val="006F5127"/>
    <w:rsid w:val="00716A93"/>
    <w:rsid w:val="00733F5C"/>
    <w:rsid w:val="007758AD"/>
    <w:rsid w:val="007858CD"/>
    <w:rsid w:val="00794A22"/>
    <w:rsid w:val="007B73D0"/>
    <w:rsid w:val="007C4B2B"/>
    <w:rsid w:val="007E7711"/>
    <w:rsid w:val="00802F12"/>
    <w:rsid w:val="00816837"/>
    <w:rsid w:val="00816F8A"/>
    <w:rsid w:val="00824DA4"/>
    <w:rsid w:val="00843D62"/>
    <w:rsid w:val="00853A35"/>
    <w:rsid w:val="00870952"/>
    <w:rsid w:val="00882021"/>
    <w:rsid w:val="00885F78"/>
    <w:rsid w:val="00891D84"/>
    <w:rsid w:val="00897A23"/>
    <w:rsid w:val="008A6629"/>
    <w:rsid w:val="008B1978"/>
    <w:rsid w:val="008C2C61"/>
    <w:rsid w:val="008E26BC"/>
    <w:rsid w:val="00903CA8"/>
    <w:rsid w:val="00906285"/>
    <w:rsid w:val="00911E66"/>
    <w:rsid w:val="00914578"/>
    <w:rsid w:val="009406E7"/>
    <w:rsid w:val="0094176A"/>
    <w:rsid w:val="0095149D"/>
    <w:rsid w:val="009525AA"/>
    <w:rsid w:val="00952B70"/>
    <w:rsid w:val="009614A3"/>
    <w:rsid w:val="00970845"/>
    <w:rsid w:val="00984A85"/>
    <w:rsid w:val="00987F15"/>
    <w:rsid w:val="009959EF"/>
    <w:rsid w:val="009A12C2"/>
    <w:rsid w:val="009A5712"/>
    <w:rsid w:val="009B1676"/>
    <w:rsid w:val="009B24CF"/>
    <w:rsid w:val="009B4B52"/>
    <w:rsid w:val="009E06F4"/>
    <w:rsid w:val="009E3665"/>
    <w:rsid w:val="009F1CEF"/>
    <w:rsid w:val="009F66EA"/>
    <w:rsid w:val="00A00885"/>
    <w:rsid w:val="00A05595"/>
    <w:rsid w:val="00A1356C"/>
    <w:rsid w:val="00A32E9C"/>
    <w:rsid w:val="00A36E2C"/>
    <w:rsid w:val="00A477D0"/>
    <w:rsid w:val="00A47C6C"/>
    <w:rsid w:val="00A67873"/>
    <w:rsid w:val="00A75C78"/>
    <w:rsid w:val="00A93E92"/>
    <w:rsid w:val="00A9611A"/>
    <w:rsid w:val="00AB53DB"/>
    <w:rsid w:val="00AC0C5E"/>
    <w:rsid w:val="00AC6C88"/>
    <w:rsid w:val="00AC7CFF"/>
    <w:rsid w:val="00AD3165"/>
    <w:rsid w:val="00AF4C0B"/>
    <w:rsid w:val="00AF75E0"/>
    <w:rsid w:val="00B05949"/>
    <w:rsid w:val="00B06AF4"/>
    <w:rsid w:val="00B1234B"/>
    <w:rsid w:val="00B239E0"/>
    <w:rsid w:val="00B403E8"/>
    <w:rsid w:val="00B56125"/>
    <w:rsid w:val="00B61F8C"/>
    <w:rsid w:val="00B642DA"/>
    <w:rsid w:val="00B74D03"/>
    <w:rsid w:val="00BB733A"/>
    <w:rsid w:val="00BD6643"/>
    <w:rsid w:val="00BD7717"/>
    <w:rsid w:val="00BF76F8"/>
    <w:rsid w:val="00C001B0"/>
    <w:rsid w:val="00C3332D"/>
    <w:rsid w:val="00C37B50"/>
    <w:rsid w:val="00C45185"/>
    <w:rsid w:val="00C50603"/>
    <w:rsid w:val="00C5611E"/>
    <w:rsid w:val="00C60950"/>
    <w:rsid w:val="00C61ED3"/>
    <w:rsid w:val="00C656D5"/>
    <w:rsid w:val="00C6672E"/>
    <w:rsid w:val="00C72742"/>
    <w:rsid w:val="00C846C6"/>
    <w:rsid w:val="00C84ECE"/>
    <w:rsid w:val="00CA23E3"/>
    <w:rsid w:val="00CD1B0A"/>
    <w:rsid w:val="00D00C52"/>
    <w:rsid w:val="00D20602"/>
    <w:rsid w:val="00D22272"/>
    <w:rsid w:val="00D22E7D"/>
    <w:rsid w:val="00D37D34"/>
    <w:rsid w:val="00D41381"/>
    <w:rsid w:val="00D64E5E"/>
    <w:rsid w:val="00D702E0"/>
    <w:rsid w:val="00D76965"/>
    <w:rsid w:val="00D830D8"/>
    <w:rsid w:val="00DC6E40"/>
    <w:rsid w:val="00DD2A95"/>
    <w:rsid w:val="00DD4232"/>
    <w:rsid w:val="00DF1A5F"/>
    <w:rsid w:val="00DF6D66"/>
    <w:rsid w:val="00E21F30"/>
    <w:rsid w:val="00E2523B"/>
    <w:rsid w:val="00E30933"/>
    <w:rsid w:val="00E30DC1"/>
    <w:rsid w:val="00E44223"/>
    <w:rsid w:val="00E51347"/>
    <w:rsid w:val="00E65D28"/>
    <w:rsid w:val="00E74485"/>
    <w:rsid w:val="00E943D5"/>
    <w:rsid w:val="00EA1998"/>
    <w:rsid w:val="00EA43DA"/>
    <w:rsid w:val="00EA53CF"/>
    <w:rsid w:val="00EB1217"/>
    <w:rsid w:val="00EB3EEB"/>
    <w:rsid w:val="00EC15E0"/>
    <w:rsid w:val="00EC2A0F"/>
    <w:rsid w:val="00ED7196"/>
    <w:rsid w:val="00ED7D44"/>
    <w:rsid w:val="00EE0749"/>
    <w:rsid w:val="00F03852"/>
    <w:rsid w:val="00F03EDA"/>
    <w:rsid w:val="00F229E9"/>
    <w:rsid w:val="00F404EA"/>
    <w:rsid w:val="00F40CC5"/>
    <w:rsid w:val="00F42018"/>
    <w:rsid w:val="00F42EF1"/>
    <w:rsid w:val="00F574B6"/>
    <w:rsid w:val="00F61E83"/>
    <w:rsid w:val="00F72293"/>
    <w:rsid w:val="00FA1926"/>
    <w:rsid w:val="00FA497C"/>
    <w:rsid w:val="00FB27C3"/>
    <w:rsid w:val="00FD1AF3"/>
    <w:rsid w:val="00FD5E52"/>
    <w:rsid w:val="00FF6367"/>
    <w:rsid w:val="021653BB"/>
    <w:rsid w:val="05592E14"/>
    <w:rsid w:val="08E247AE"/>
    <w:rsid w:val="09F60909"/>
    <w:rsid w:val="0BBE42A1"/>
    <w:rsid w:val="0C414FD1"/>
    <w:rsid w:val="10055549"/>
    <w:rsid w:val="10B04E71"/>
    <w:rsid w:val="117F145B"/>
    <w:rsid w:val="11CA47A5"/>
    <w:rsid w:val="18F51F2A"/>
    <w:rsid w:val="19701C8E"/>
    <w:rsid w:val="19F77726"/>
    <w:rsid w:val="251C16DD"/>
    <w:rsid w:val="25586959"/>
    <w:rsid w:val="261C750F"/>
    <w:rsid w:val="26B26C67"/>
    <w:rsid w:val="29F05B82"/>
    <w:rsid w:val="2A325C3F"/>
    <w:rsid w:val="2BB4689F"/>
    <w:rsid w:val="2F1A5EC8"/>
    <w:rsid w:val="31C868B5"/>
    <w:rsid w:val="31DE0DF5"/>
    <w:rsid w:val="41F15A9B"/>
    <w:rsid w:val="4BB3326E"/>
    <w:rsid w:val="4FE83449"/>
    <w:rsid w:val="52405A40"/>
    <w:rsid w:val="552E70ED"/>
    <w:rsid w:val="58584A87"/>
    <w:rsid w:val="5A53017F"/>
    <w:rsid w:val="5B9938B6"/>
    <w:rsid w:val="607C78E4"/>
    <w:rsid w:val="611559FD"/>
    <w:rsid w:val="62FB1E28"/>
    <w:rsid w:val="68B62BB2"/>
    <w:rsid w:val="6B6D2BFE"/>
    <w:rsid w:val="769D2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8">
    <w:name w:val="page number"/>
    <w:basedOn w:val="7"/>
    <w:unhideWhenUsed/>
    <w:qFormat/>
    <w:uiPriority w:val="99"/>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批注框文本 Char"/>
    <w:basedOn w:val="7"/>
    <w:link w:val="3"/>
    <w:semiHidden/>
    <w:qFormat/>
    <w:uiPriority w:val="99"/>
    <w:rPr>
      <w:rFonts w:ascii="Times New Roman" w:hAnsi="Times New Roman" w:eastAsia="宋体" w:cs="Times New Roman"/>
      <w:sz w:val="18"/>
      <w:szCs w:val="18"/>
    </w:rPr>
  </w:style>
  <w:style w:type="character" w:customStyle="1" w:styleId="12">
    <w:name w:val="日期 Char"/>
    <w:basedOn w:val="7"/>
    <w:link w:val="2"/>
    <w:semiHidden/>
    <w:qFormat/>
    <w:uiPriority w:val="99"/>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362</Words>
  <Characters>2065</Characters>
  <Lines>17</Lines>
  <Paragraphs>4</Paragraphs>
  <TotalTime>26</TotalTime>
  <ScaleCrop>false</ScaleCrop>
  <LinksUpToDate>false</LinksUpToDate>
  <CharactersWithSpaces>2423</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2019-06-14T08:28:00Z</dcterms:created>
  <dc:creator>韩会志</dc:creator>
  <cp:lastModifiedBy>清水紫涧</cp:lastModifiedBy>
  <cp:lastPrinted>2019-08-06T02:21:10Z</cp:lastPrinted>
  <dcterms:modified xsi:type="dcterms:W3CDTF">2019-08-06T02:35:47Z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